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7286" w:rsidRPr="00884FF2" w:rsidRDefault="00554DB9" w:rsidP="00AB7286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32"/>
          <w:lang w:val="en-US"/>
        </w:rPr>
      </w:pPr>
      <w:r w:rsidRPr="00884FF2">
        <w:rPr>
          <w:rFonts w:ascii="Times New Roman" w:hAnsi="Times New Roman"/>
          <w:noProof/>
          <w:sz w:val="32"/>
        </w:rPr>
        <w:drawing>
          <wp:inline distT="0" distB="0" distL="0" distR="0">
            <wp:extent cx="685800" cy="914400"/>
            <wp:effectExtent l="0" t="0" r="0" b="0"/>
            <wp:docPr id="1" name="Рисунок 1" descr="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7286" w:rsidRPr="00884FF2" w:rsidRDefault="00AB7286" w:rsidP="00AB7286">
      <w:pPr>
        <w:rPr>
          <w:lang w:val="en-US"/>
        </w:rPr>
      </w:pPr>
    </w:p>
    <w:p w:rsidR="00AB7286" w:rsidRPr="00884FF2" w:rsidRDefault="00AB7286" w:rsidP="00AB7286">
      <w:pPr>
        <w:jc w:val="center"/>
        <w:rPr>
          <w:b/>
          <w:sz w:val="36"/>
          <w:szCs w:val="36"/>
        </w:rPr>
      </w:pPr>
      <w:r w:rsidRPr="00884FF2">
        <w:rPr>
          <w:b/>
          <w:sz w:val="36"/>
          <w:szCs w:val="36"/>
        </w:rPr>
        <w:t>Ханты-Мансийский автономный округ-Югра</w:t>
      </w:r>
    </w:p>
    <w:p w:rsidR="00AB7286" w:rsidRPr="00884FF2" w:rsidRDefault="00AB7286" w:rsidP="00AB7286">
      <w:pPr>
        <w:jc w:val="center"/>
        <w:rPr>
          <w:b/>
          <w:sz w:val="36"/>
          <w:szCs w:val="36"/>
        </w:rPr>
      </w:pPr>
      <w:r w:rsidRPr="00884FF2">
        <w:rPr>
          <w:b/>
          <w:sz w:val="36"/>
          <w:szCs w:val="36"/>
        </w:rPr>
        <w:t>муниципальное образование</w:t>
      </w:r>
    </w:p>
    <w:p w:rsidR="00AB7286" w:rsidRPr="00884FF2" w:rsidRDefault="00AB7286" w:rsidP="00AB7286">
      <w:pPr>
        <w:jc w:val="center"/>
        <w:rPr>
          <w:b/>
          <w:sz w:val="36"/>
          <w:szCs w:val="36"/>
        </w:rPr>
      </w:pPr>
      <w:r w:rsidRPr="00884FF2">
        <w:rPr>
          <w:b/>
          <w:sz w:val="36"/>
          <w:szCs w:val="36"/>
        </w:rPr>
        <w:t>городской округ город Пыть-Ях</w:t>
      </w:r>
    </w:p>
    <w:p w:rsidR="00AB7286" w:rsidRPr="00884FF2" w:rsidRDefault="00AB7286" w:rsidP="00AB7286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36"/>
          <w:szCs w:val="36"/>
        </w:rPr>
      </w:pPr>
      <w:r w:rsidRPr="00884FF2">
        <w:rPr>
          <w:rFonts w:ascii="Times New Roman" w:hAnsi="Times New Roman"/>
          <w:sz w:val="36"/>
          <w:szCs w:val="36"/>
        </w:rPr>
        <w:t>АДМИНИСТРАЦИЯ ГОРОДА</w:t>
      </w:r>
    </w:p>
    <w:p w:rsidR="00AB7286" w:rsidRPr="00884FF2" w:rsidRDefault="00AB7286" w:rsidP="00AB7286">
      <w:pPr>
        <w:jc w:val="center"/>
        <w:rPr>
          <w:sz w:val="36"/>
          <w:szCs w:val="36"/>
        </w:rPr>
      </w:pPr>
    </w:p>
    <w:p w:rsidR="00AB7286" w:rsidRPr="00884FF2" w:rsidRDefault="00AB7286" w:rsidP="00AB7286">
      <w:pPr>
        <w:jc w:val="center"/>
        <w:rPr>
          <w:b/>
          <w:sz w:val="36"/>
          <w:szCs w:val="36"/>
        </w:rPr>
      </w:pPr>
      <w:r w:rsidRPr="00884FF2">
        <w:rPr>
          <w:b/>
          <w:sz w:val="36"/>
          <w:szCs w:val="36"/>
        </w:rPr>
        <w:t>Р А С П О Р Я Ж Е Н И Е</w:t>
      </w:r>
    </w:p>
    <w:p w:rsidR="009C002B" w:rsidRPr="00884FF2" w:rsidRDefault="009C002B" w:rsidP="00E709BD">
      <w:pPr>
        <w:pStyle w:val="a6"/>
        <w:jc w:val="both"/>
        <w:rPr>
          <w:b w:val="0"/>
          <w:sz w:val="28"/>
          <w:szCs w:val="28"/>
        </w:rPr>
      </w:pPr>
    </w:p>
    <w:p w:rsidR="00E626B1" w:rsidRPr="00884FF2" w:rsidRDefault="009B631E" w:rsidP="00E709BD">
      <w:pPr>
        <w:pStyle w:val="a6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От 19.08.2020</w:t>
      </w:r>
      <w:r w:rsidR="0027156E">
        <w:rPr>
          <w:b w:val="0"/>
          <w:sz w:val="28"/>
          <w:szCs w:val="28"/>
        </w:rPr>
        <w:tab/>
      </w:r>
      <w:r w:rsidR="0027156E">
        <w:rPr>
          <w:b w:val="0"/>
          <w:sz w:val="28"/>
          <w:szCs w:val="28"/>
        </w:rPr>
        <w:tab/>
      </w:r>
      <w:r w:rsidR="0027156E">
        <w:rPr>
          <w:b w:val="0"/>
          <w:sz w:val="28"/>
          <w:szCs w:val="28"/>
        </w:rPr>
        <w:tab/>
      </w:r>
      <w:r w:rsidR="0027156E">
        <w:rPr>
          <w:b w:val="0"/>
          <w:sz w:val="28"/>
          <w:szCs w:val="28"/>
        </w:rPr>
        <w:tab/>
      </w:r>
      <w:r w:rsidR="0027156E">
        <w:rPr>
          <w:b w:val="0"/>
          <w:sz w:val="28"/>
          <w:szCs w:val="28"/>
        </w:rPr>
        <w:tab/>
      </w:r>
      <w:r w:rsidR="0027156E">
        <w:rPr>
          <w:b w:val="0"/>
          <w:sz w:val="28"/>
          <w:szCs w:val="28"/>
        </w:rPr>
        <w:tab/>
      </w:r>
      <w:r w:rsidR="0027156E">
        <w:rPr>
          <w:b w:val="0"/>
          <w:sz w:val="28"/>
          <w:szCs w:val="28"/>
        </w:rPr>
        <w:tab/>
      </w:r>
      <w:r w:rsidR="0027156E">
        <w:rPr>
          <w:b w:val="0"/>
          <w:sz w:val="28"/>
          <w:szCs w:val="28"/>
        </w:rPr>
        <w:tab/>
      </w:r>
      <w:r w:rsidR="0027156E"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>№ 1484-ра</w:t>
      </w:r>
    </w:p>
    <w:p w:rsidR="00CB0F06" w:rsidRPr="00884FF2" w:rsidRDefault="00CB0F06" w:rsidP="00E709BD">
      <w:pPr>
        <w:pStyle w:val="a6"/>
        <w:jc w:val="both"/>
        <w:rPr>
          <w:b w:val="0"/>
          <w:sz w:val="28"/>
          <w:szCs w:val="28"/>
        </w:rPr>
      </w:pPr>
    </w:p>
    <w:p w:rsidR="00E709BD" w:rsidRPr="00884FF2" w:rsidRDefault="00E709BD" w:rsidP="00E709BD">
      <w:pPr>
        <w:pStyle w:val="a6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>О</w:t>
      </w:r>
      <w:r w:rsidR="00BC4AB1">
        <w:rPr>
          <w:b w:val="0"/>
          <w:sz w:val="28"/>
          <w:szCs w:val="28"/>
        </w:rPr>
        <w:t xml:space="preserve"> </w:t>
      </w:r>
      <w:r w:rsidR="00053975" w:rsidRPr="00884FF2">
        <w:rPr>
          <w:b w:val="0"/>
          <w:sz w:val="28"/>
          <w:szCs w:val="28"/>
        </w:rPr>
        <w:t>п</w:t>
      </w:r>
      <w:r w:rsidR="00BC4AB1">
        <w:rPr>
          <w:b w:val="0"/>
          <w:sz w:val="28"/>
          <w:szCs w:val="28"/>
        </w:rPr>
        <w:t>рогнозе</w:t>
      </w:r>
      <w:r w:rsidR="00053975" w:rsidRPr="00884FF2">
        <w:rPr>
          <w:b w:val="0"/>
          <w:sz w:val="28"/>
          <w:szCs w:val="28"/>
        </w:rPr>
        <w:t xml:space="preserve"> </w:t>
      </w:r>
      <w:r w:rsidRPr="00884FF2">
        <w:rPr>
          <w:b w:val="0"/>
          <w:sz w:val="28"/>
          <w:szCs w:val="28"/>
        </w:rPr>
        <w:t xml:space="preserve">социально-экономического </w:t>
      </w:r>
    </w:p>
    <w:p w:rsidR="00E709BD" w:rsidRPr="00884FF2" w:rsidRDefault="00E709BD" w:rsidP="00E709BD">
      <w:pPr>
        <w:pStyle w:val="a6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 xml:space="preserve">развития муниципального образования </w:t>
      </w:r>
    </w:p>
    <w:p w:rsidR="00053975" w:rsidRPr="00884FF2" w:rsidRDefault="00E709BD" w:rsidP="00E709BD">
      <w:pPr>
        <w:pStyle w:val="a6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 xml:space="preserve">городской округ город Пыть-Ях </w:t>
      </w:r>
    </w:p>
    <w:p w:rsidR="00053975" w:rsidRPr="00884FF2" w:rsidRDefault="00857CEB" w:rsidP="00E709BD">
      <w:pPr>
        <w:pStyle w:val="a6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 xml:space="preserve">на </w:t>
      </w:r>
      <w:r w:rsidR="00891F06" w:rsidRPr="00884FF2">
        <w:rPr>
          <w:b w:val="0"/>
          <w:sz w:val="28"/>
          <w:szCs w:val="28"/>
        </w:rPr>
        <w:t>20</w:t>
      </w:r>
      <w:r w:rsidR="0061100C">
        <w:rPr>
          <w:b w:val="0"/>
          <w:sz w:val="28"/>
          <w:szCs w:val="28"/>
        </w:rPr>
        <w:t>21</w:t>
      </w:r>
      <w:r w:rsidR="00891F06" w:rsidRPr="00884FF2">
        <w:rPr>
          <w:b w:val="0"/>
          <w:sz w:val="28"/>
          <w:szCs w:val="28"/>
        </w:rPr>
        <w:t xml:space="preserve"> год</w:t>
      </w:r>
      <w:r w:rsidR="002D0477" w:rsidRPr="00884FF2">
        <w:rPr>
          <w:b w:val="0"/>
          <w:sz w:val="28"/>
          <w:szCs w:val="28"/>
        </w:rPr>
        <w:t xml:space="preserve"> и </w:t>
      </w:r>
      <w:r w:rsidR="0061100C">
        <w:rPr>
          <w:b w:val="0"/>
          <w:sz w:val="28"/>
          <w:szCs w:val="28"/>
        </w:rPr>
        <w:t xml:space="preserve">на </w:t>
      </w:r>
      <w:r w:rsidR="00E709BD" w:rsidRPr="00884FF2">
        <w:rPr>
          <w:b w:val="0"/>
          <w:sz w:val="28"/>
          <w:szCs w:val="28"/>
        </w:rPr>
        <w:t xml:space="preserve">плановый период </w:t>
      </w:r>
    </w:p>
    <w:p w:rsidR="00E709BD" w:rsidRPr="00884FF2" w:rsidRDefault="0061100C" w:rsidP="00E709BD">
      <w:pPr>
        <w:pStyle w:val="a6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2022 и 2023 годов</w:t>
      </w:r>
    </w:p>
    <w:p w:rsidR="00E709BD" w:rsidRPr="00884FF2" w:rsidRDefault="00E709BD" w:rsidP="00053975">
      <w:pPr>
        <w:pStyle w:val="a6"/>
        <w:ind w:firstLine="709"/>
        <w:jc w:val="both"/>
        <w:rPr>
          <w:b w:val="0"/>
          <w:sz w:val="28"/>
          <w:szCs w:val="28"/>
        </w:rPr>
      </w:pPr>
    </w:p>
    <w:p w:rsidR="00E709BD" w:rsidRPr="00884FF2" w:rsidRDefault="00E709BD" w:rsidP="00053975">
      <w:pPr>
        <w:pStyle w:val="a6"/>
        <w:ind w:firstLine="709"/>
        <w:jc w:val="both"/>
        <w:rPr>
          <w:b w:val="0"/>
          <w:sz w:val="28"/>
          <w:szCs w:val="28"/>
        </w:rPr>
      </w:pPr>
    </w:p>
    <w:p w:rsidR="00E709BD" w:rsidRPr="00884FF2" w:rsidRDefault="00E709BD" w:rsidP="00053975">
      <w:pPr>
        <w:pStyle w:val="a6"/>
        <w:ind w:firstLine="709"/>
        <w:jc w:val="both"/>
        <w:rPr>
          <w:b w:val="0"/>
          <w:sz w:val="28"/>
          <w:szCs w:val="28"/>
        </w:rPr>
      </w:pPr>
    </w:p>
    <w:p w:rsidR="00BC4AB1" w:rsidRDefault="00E709BD" w:rsidP="00E709BD">
      <w:pPr>
        <w:pStyle w:val="a6"/>
        <w:spacing w:line="360" w:lineRule="auto"/>
        <w:ind w:firstLine="709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 xml:space="preserve">В соответствии с постановлением администрации города от </w:t>
      </w:r>
      <w:r w:rsidR="00BC4AB1">
        <w:rPr>
          <w:b w:val="0"/>
          <w:sz w:val="28"/>
          <w:szCs w:val="28"/>
        </w:rPr>
        <w:t xml:space="preserve">14.07.2014 №175-па «О </w:t>
      </w:r>
      <w:r w:rsidRPr="00884FF2">
        <w:rPr>
          <w:b w:val="0"/>
          <w:sz w:val="28"/>
          <w:szCs w:val="28"/>
        </w:rPr>
        <w:t xml:space="preserve">порядке </w:t>
      </w:r>
      <w:r w:rsidR="00BC4AB1">
        <w:rPr>
          <w:b w:val="0"/>
          <w:sz w:val="28"/>
          <w:szCs w:val="28"/>
        </w:rPr>
        <w:t>составления проекта решения о бюджете муниципального образования на очередной финансовый год и плановый период»:</w:t>
      </w:r>
    </w:p>
    <w:p w:rsidR="00053975" w:rsidRPr="00884FF2" w:rsidRDefault="00053975" w:rsidP="00053975">
      <w:pPr>
        <w:pStyle w:val="a6"/>
        <w:ind w:left="709" w:hanging="709"/>
        <w:jc w:val="both"/>
        <w:rPr>
          <w:b w:val="0"/>
          <w:sz w:val="28"/>
          <w:szCs w:val="28"/>
        </w:rPr>
      </w:pPr>
    </w:p>
    <w:p w:rsidR="00053975" w:rsidRDefault="00053975" w:rsidP="00053975">
      <w:pPr>
        <w:pStyle w:val="a6"/>
        <w:ind w:left="709" w:hanging="709"/>
        <w:jc w:val="both"/>
        <w:rPr>
          <w:b w:val="0"/>
          <w:sz w:val="28"/>
          <w:szCs w:val="28"/>
        </w:rPr>
      </w:pPr>
    </w:p>
    <w:p w:rsidR="00216681" w:rsidRPr="00884FF2" w:rsidRDefault="00216681" w:rsidP="00053975">
      <w:pPr>
        <w:pStyle w:val="a6"/>
        <w:ind w:left="709" w:hanging="709"/>
        <w:jc w:val="both"/>
        <w:rPr>
          <w:b w:val="0"/>
          <w:sz w:val="28"/>
          <w:szCs w:val="28"/>
        </w:rPr>
      </w:pPr>
    </w:p>
    <w:p w:rsidR="00E709BD" w:rsidRPr="00884FF2" w:rsidRDefault="00B15D81" w:rsidP="00053975">
      <w:pPr>
        <w:pStyle w:val="a6"/>
        <w:numPr>
          <w:ilvl w:val="0"/>
          <w:numId w:val="18"/>
        </w:numPr>
        <w:tabs>
          <w:tab w:val="clear" w:pos="720"/>
          <w:tab w:val="num" w:pos="0"/>
        </w:tabs>
        <w:spacing w:line="360" w:lineRule="auto"/>
        <w:ind w:left="0"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Одобрить прогноз</w:t>
      </w:r>
      <w:r w:rsidR="00E709BD" w:rsidRPr="00884FF2">
        <w:rPr>
          <w:b w:val="0"/>
          <w:sz w:val="28"/>
          <w:szCs w:val="28"/>
        </w:rPr>
        <w:t xml:space="preserve"> социально-экономического развития муниципального образования город</w:t>
      </w:r>
      <w:r w:rsidR="00114E35" w:rsidRPr="00884FF2">
        <w:rPr>
          <w:b w:val="0"/>
          <w:sz w:val="28"/>
          <w:szCs w:val="28"/>
        </w:rPr>
        <w:t>ской округ город Пыть-Ях на 20</w:t>
      </w:r>
      <w:r w:rsidR="00EA2F8A">
        <w:rPr>
          <w:b w:val="0"/>
          <w:sz w:val="28"/>
          <w:szCs w:val="28"/>
        </w:rPr>
        <w:t>21</w:t>
      </w:r>
      <w:r w:rsidR="00C2585F" w:rsidRPr="00884FF2">
        <w:rPr>
          <w:b w:val="0"/>
          <w:sz w:val="28"/>
          <w:szCs w:val="28"/>
        </w:rPr>
        <w:t xml:space="preserve"> год и </w:t>
      </w:r>
      <w:r w:rsidR="00EA2F8A">
        <w:rPr>
          <w:b w:val="0"/>
          <w:sz w:val="28"/>
          <w:szCs w:val="28"/>
        </w:rPr>
        <w:t xml:space="preserve">на </w:t>
      </w:r>
      <w:r w:rsidR="00C2585F" w:rsidRPr="00884FF2">
        <w:rPr>
          <w:b w:val="0"/>
          <w:sz w:val="28"/>
          <w:szCs w:val="28"/>
        </w:rPr>
        <w:t xml:space="preserve">плановый период </w:t>
      </w:r>
      <w:r w:rsidR="00EA2F8A">
        <w:rPr>
          <w:b w:val="0"/>
          <w:sz w:val="28"/>
          <w:szCs w:val="28"/>
        </w:rPr>
        <w:t>2022 и 2023 годов</w:t>
      </w:r>
      <w:r>
        <w:rPr>
          <w:b w:val="0"/>
          <w:sz w:val="28"/>
          <w:szCs w:val="28"/>
        </w:rPr>
        <w:t>, согласно приложениям №№1,2</w:t>
      </w:r>
      <w:r w:rsidR="00E709BD" w:rsidRPr="00884FF2">
        <w:rPr>
          <w:b w:val="0"/>
          <w:sz w:val="28"/>
          <w:szCs w:val="28"/>
        </w:rPr>
        <w:t>.</w:t>
      </w:r>
    </w:p>
    <w:p w:rsidR="003E47FF" w:rsidRDefault="002824DD" w:rsidP="00053975">
      <w:pPr>
        <w:pStyle w:val="a6"/>
        <w:numPr>
          <w:ilvl w:val="0"/>
          <w:numId w:val="18"/>
        </w:numPr>
        <w:tabs>
          <w:tab w:val="clear" w:pos="720"/>
          <w:tab w:val="num" w:pos="0"/>
        </w:tabs>
        <w:spacing w:line="360" w:lineRule="auto"/>
        <w:ind w:left="0"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Управлению </w:t>
      </w:r>
      <w:r w:rsidR="003E47FF">
        <w:rPr>
          <w:b w:val="0"/>
          <w:sz w:val="28"/>
          <w:szCs w:val="28"/>
        </w:rPr>
        <w:t xml:space="preserve">по экономике (С.В. </w:t>
      </w:r>
      <w:proofErr w:type="spellStart"/>
      <w:r w:rsidR="003E47FF">
        <w:rPr>
          <w:b w:val="0"/>
          <w:sz w:val="28"/>
          <w:szCs w:val="28"/>
        </w:rPr>
        <w:t>Маслак</w:t>
      </w:r>
      <w:proofErr w:type="spellEnd"/>
      <w:r w:rsidR="003E47FF">
        <w:rPr>
          <w:b w:val="0"/>
          <w:sz w:val="28"/>
          <w:szCs w:val="28"/>
        </w:rPr>
        <w:t xml:space="preserve">) направить прогноз </w:t>
      </w:r>
      <w:r w:rsidR="003E47FF" w:rsidRPr="00884FF2">
        <w:rPr>
          <w:b w:val="0"/>
          <w:sz w:val="28"/>
          <w:szCs w:val="28"/>
        </w:rPr>
        <w:t>социально-экономического развития муниципального образования городской округ город Пыть-Ях на 20</w:t>
      </w:r>
      <w:r w:rsidR="00E91797">
        <w:rPr>
          <w:b w:val="0"/>
          <w:sz w:val="28"/>
          <w:szCs w:val="28"/>
        </w:rPr>
        <w:t>21</w:t>
      </w:r>
      <w:r w:rsidR="003E47FF" w:rsidRPr="00884FF2">
        <w:rPr>
          <w:b w:val="0"/>
          <w:sz w:val="28"/>
          <w:szCs w:val="28"/>
        </w:rPr>
        <w:t xml:space="preserve"> год и </w:t>
      </w:r>
      <w:r w:rsidR="00E91797">
        <w:rPr>
          <w:b w:val="0"/>
          <w:sz w:val="28"/>
          <w:szCs w:val="28"/>
        </w:rPr>
        <w:t xml:space="preserve">на </w:t>
      </w:r>
      <w:r w:rsidR="003E47FF" w:rsidRPr="00884FF2">
        <w:rPr>
          <w:b w:val="0"/>
          <w:sz w:val="28"/>
          <w:szCs w:val="28"/>
        </w:rPr>
        <w:t xml:space="preserve">плановый период </w:t>
      </w:r>
      <w:r w:rsidR="00E91797">
        <w:rPr>
          <w:b w:val="0"/>
          <w:sz w:val="28"/>
          <w:szCs w:val="28"/>
        </w:rPr>
        <w:t>2022 и 2023 годов</w:t>
      </w:r>
      <w:r w:rsidR="003E47FF">
        <w:rPr>
          <w:b w:val="0"/>
          <w:sz w:val="28"/>
          <w:szCs w:val="28"/>
        </w:rPr>
        <w:t xml:space="preserve"> в Думу города одновременно с проектом бюджета на 20</w:t>
      </w:r>
      <w:r w:rsidR="0037736A">
        <w:rPr>
          <w:b w:val="0"/>
          <w:sz w:val="28"/>
          <w:szCs w:val="28"/>
        </w:rPr>
        <w:t>2</w:t>
      </w:r>
      <w:r w:rsidR="00E91797">
        <w:rPr>
          <w:b w:val="0"/>
          <w:sz w:val="28"/>
          <w:szCs w:val="28"/>
        </w:rPr>
        <w:t>1 год и плановый период 2022 и</w:t>
      </w:r>
      <w:r w:rsidR="0037736A">
        <w:rPr>
          <w:b w:val="0"/>
          <w:sz w:val="28"/>
          <w:szCs w:val="28"/>
        </w:rPr>
        <w:t xml:space="preserve"> 202</w:t>
      </w:r>
      <w:r w:rsidR="00E91797">
        <w:rPr>
          <w:b w:val="0"/>
          <w:sz w:val="28"/>
          <w:szCs w:val="28"/>
        </w:rPr>
        <w:t>3</w:t>
      </w:r>
      <w:r w:rsidR="003E47FF">
        <w:rPr>
          <w:b w:val="0"/>
          <w:sz w:val="28"/>
          <w:szCs w:val="28"/>
        </w:rPr>
        <w:t xml:space="preserve"> годов.</w:t>
      </w:r>
    </w:p>
    <w:p w:rsidR="00E709BD" w:rsidRPr="00884FF2" w:rsidRDefault="00E709BD" w:rsidP="00053975">
      <w:pPr>
        <w:pStyle w:val="a6"/>
        <w:numPr>
          <w:ilvl w:val="0"/>
          <w:numId w:val="18"/>
        </w:numPr>
        <w:tabs>
          <w:tab w:val="clear" w:pos="720"/>
          <w:tab w:val="num" w:pos="0"/>
        </w:tabs>
        <w:spacing w:line="360" w:lineRule="auto"/>
        <w:ind w:left="0" w:firstLine="540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lastRenderedPageBreak/>
        <w:t>Контроль за выполнением распоряжения возложить на</w:t>
      </w:r>
      <w:r w:rsidR="00F864C4" w:rsidRPr="00884FF2">
        <w:rPr>
          <w:b w:val="0"/>
          <w:sz w:val="28"/>
          <w:szCs w:val="28"/>
        </w:rPr>
        <w:t xml:space="preserve"> заместителя </w:t>
      </w:r>
      <w:r w:rsidR="00C2585F" w:rsidRPr="00884FF2">
        <w:rPr>
          <w:b w:val="0"/>
          <w:sz w:val="28"/>
          <w:szCs w:val="28"/>
        </w:rPr>
        <w:t>главы города</w:t>
      </w:r>
      <w:r w:rsidR="00E626B1" w:rsidRPr="00884FF2">
        <w:rPr>
          <w:b w:val="0"/>
          <w:sz w:val="28"/>
          <w:szCs w:val="28"/>
        </w:rPr>
        <w:t xml:space="preserve"> </w:t>
      </w:r>
      <w:r w:rsidRPr="00884FF2">
        <w:rPr>
          <w:b w:val="0"/>
          <w:sz w:val="28"/>
          <w:szCs w:val="28"/>
        </w:rPr>
        <w:t>– председателя к</w:t>
      </w:r>
      <w:r w:rsidR="00216681">
        <w:rPr>
          <w:b w:val="0"/>
          <w:sz w:val="28"/>
          <w:szCs w:val="28"/>
        </w:rPr>
        <w:t>омитета по финансам</w:t>
      </w:r>
      <w:r w:rsidRPr="00884FF2">
        <w:rPr>
          <w:b w:val="0"/>
          <w:sz w:val="28"/>
          <w:szCs w:val="28"/>
        </w:rPr>
        <w:t>.</w:t>
      </w:r>
    </w:p>
    <w:p w:rsidR="00E709BD" w:rsidRPr="00884FF2" w:rsidRDefault="00E709BD" w:rsidP="00053975">
      <w:pPr>
        <w:pStyle w:val="a6"/>
        <w:jc w:val="both"/>
        <w:rPr>
          <w:b w:val="0"/>
          <w:sz w:val="28"/>
          <w:szCs w:val="28"/>
        </w:rPr>
      </w:pPr>
    </w:p>
    <w:p w:rsidR="00D34954" w:rsidRPr="00884FF2" w:rsidRDefault="00D34954" w:rsidP="00053975">
      <w:pPr>
        <w:rPr>
          <w:sz w:val="28"/>
          <w:szCs w:val="28"/>
        </w:rPr>
      </w:pPr>
    </w:p>
    <w:p w:rsidR="00D34954" w:rsidRPr="00884FF2" w:rsidRDefault="00D34954" w:rsidP="00053975">
      <w:pPr>
        <w:rPr>
          <w:sz w:val="28"/>
          <w:szCs w:val="28"/>
        </w:rPr>
      </w:pPr>
    </w:p>
    <w:p w:rsidR="00003EA8" w:rsidRPr="00884FF2" w:rsidRDefault="0037736A" w:rsidP="00003EA8">
      <w:pPr>
        <w:pStyle w:val="a5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E626B1" w:rsidRPr="00884FF2">
        <w:rPr>
          <w:sz w:val="28"/>
          <w:szCs w:val="28"/>
        </w:rPr>
        <w:t xml:space="preserve"> </w:t>
      </w:r>
      <w:r w:rsidR="00C2585F" w:rsidRPr="00884FF2">
        <w:rPr>
          <w:sz w:val="28"/>
          <w:szCs w:val="28"/>
        </w:rPr>
        <w:t>города Пыть-Яха</w:t>
      </w:r>
      <w:r w:rsidR="00C2585F" w:rsidRPr="00884FF2">
        <w:rPr>
          <w:sz w:val="28"/>
          <w:szCs w:val="28"/>
        </w:rPr>
        <w:tab/>
        <w:t xml:space="preserve">                                                                 А.Н. Морозов</w:t>
      </w:r>
    </w:p>
    <w:p w:rsidR="00AB1AA0" w:rsidRPr="00884FF2" w:rsidRDefault="00AB1AA0" w:rsidP="00003EA8">
      <w:pPr>
        <w:pStyle w:val="a5"/>
        <w:rPr>
          <w:sz w:val="28"/>
          <w:szCs w:val="28"/>
        </w:rPr>
      </w:pPr>
    </w:p>
    <w:p w:rsidR="00AB1AA0" w:rsidRPr="00884FF2" w:rsidRDefault="00AB1AA0" w:rsidP="00003EA8">
      <w:pPr>
        <w:pStyle w:val="a5"/>
        <w:rPr>
          <w:sz w:val="28"/>
          <w:szCs w:val="28"/>
        </w:rPr>
      </w:pPr>
    </w:p>
    <w:p w:rsidR="00AB1AA0" w:rsidRPr="00884FF2" w:rsidRDefault="00AB1AA0" w:rsidP="00003EA8">
      <w:pPr>
        <w:pStyle w:val="a5"/>
        <w:rPr>
          <w:sz w:val="28"/>
          <w:szCs w:val="28"/>
        </w:rPr>
      </w:pPr>
    </w:p>
    <w:p w:rsidR="00AB1AA0" w:rsidRPr="00884FF2" w:rsidRDefault="00AB1AA0" w:rsidP="00003EA8">
      <w:pPr>
        <w:pStyle w:val="a5"/>
        <w:rPr>
          <w:sz w:val="28"/>
          <w:szCs w:val="28"/>
        </w:rPr>
      </w:pPr>
    </w:p>
    <w:p w:rsidR="00AB1AA0" w:rsidRPr="00884FF2" w:rsidRDefault="00AB1AA0" w:rsidP="00003EA8">
      <w:pPr>
        <w:pStyle w:val="a5"/>
        <w:rPr>
          <w:sz w:val="28"/>
          <w:szCs w:val="28"/>
        </w:rPr>
      </w:pPr>
    </w:p>
    <w:p w:rsidR="00AB1AA0" w:rsidRDefault="00AB1AA0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  <w:bookmarkStart w:id="0" w:name="_GoBack"/>
      <w:bookmarkEnd w:id="0"/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Pr="00884FF2" w:rsidRDefault="00A92EDF" w:rsidP="00A92EDF">
      <w:pPr>
        <w:jc w:val="right"/>
        <w:rPr>
          <w:bCs/>
          <w:sz w:val="28"/>
          <w:szCs w:val="28"/>
        </w:rPr>
      </w:pPr>
      <w:r w:rsidRPr="00884FF2">
        <w:rPr>
          <w:bCs/>
        </w:rPr>
        <w:t xml:space="preserve">                                                           </w:t>
      </w:r>
      <w:r w:rsidRPr="00884FF2">
        <w:rPr>
          <w:bCs/>
          <w:sz w:val="28"/>
          <w:szCs w:val="28"/>
        </w:rPr>
        <w:t>Приложение</w:t>
      </w:r>
      <w:r>
        <w:rPr>
          <w:bCs/>
          <w:sz w:val="28"/>
          <w:szCs w:val="28"/>
        </w:rPr>
        <w:t xml:space="preserve"> №1</w:t>
      </w:r>
      <w:r w:rsidRPr="00884FF2"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к распоряжению администрации</w:t>
      </w:r>
    </w:p>
    <w:p w:rsidR="00A92EDF" w:rsidRPr="00884FF2" w:rsidRDefault="00A92EDF" w:rsidP="00A92EDF">
      <w:pPr>
        <w:tabs>
          <w:tab w:val="left" w:pos="11160"/>
        </w:tabs>
        <w:jc w:val="right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 xml:space="preserve">  города Пыть-Яха</w:t>
      </w:r>
    </w:p>
    <w:p w:rsidR="00152F85" w:rsidRDefault="0027156E" w:rsidP="00003EA8">
      <w:pPr>
        <w:pStyle w:val="a5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B631E">
        <w:rPr>
          <w:sz w:val="28"/>
          <w:szCs w:val="28"/>
        </w:rPr>
        <w:t>от 19.08.2020 № 1484-ра</w:t>
      </w:r>
    </w:p>
    <w:p w:rsidR="00152F85" w:rsidRDefault="00152F85" w:rsidP="00003EA8">
      <w:pPr>
        <w:pStyle w:val="a5"/>
        <w:rPr>
          <w:sz w:val="28"/>
          <w:szCs w:val="28"/>
        </w:rPr>
      </w:pPr>
    </w:p>
    <w:p w:rsidR="005A6EBC" w:rsidRPr="00216681" w:rsidRDefault="005A6EBC" w:rsidP="005A6EBC">
      <w:pPr>
        <w:spacing w:line="360" w:lineRule="auto"/>
        <w:jc w:val="center"/>
        <w:rPr>
          <w:sz w:val="28"/>
          <w:szCs w:val="28"/>
        </w:rPr>
      </w:pPr>
      <w:r w:rsidRPr="00216681">
        <w:rPr>
          <w:sz w:val="28"/>
          <w:szCs w:val="28"/>
        </w:rPr>
        <w:t>Прогноз</w:t>
      </w:r>
    </w:p>
    <w:p w:rsidR="005A6EBC" w:rsidRPr="00216681" w:rsidRDefault="005A6EBC" w:rsidP="005A6EBC">
      <w:pPr>
        <w:spacing w:line="360" w:lineRule="auto"/>
        <w:jc w:val="center"/>
        <w:rPr>
          <w:sz w:val="28"/>
          <w:szCs w:val="28"/>
        </w:rPr>
      </w:pPr>
      <w:r w:rsidRPr="00216681">
        <w:rPr>
          <w:sz w:val="28"/>
          <w:szCs w:val="28"/>
        </w:rPr>
        <w:t xml:space="preserve"> социально-экономического развития</w:t>
      </w:r>
    </w:p>
    <w:p w:rsidR="005A6EBC" w:rsidRPr="00216681" w:rsidRDefault="005A6EBC" w:rsidP="005A6EBC">
      <w:pPr>
        <w:spacing w:line="360" w:lineRule="auto"/>
        <w:jc w:val="center"/>
        <w:rPr>
          <w:sz w:val="28"/>
          <w:szCs w:val="28"/>
        </w:rPr>
      </w:pPr>
      <w:r w:rsidRPr="00216681">
        <w:rPr>
          <w:sz w:val="28"/>
          <w:szCs w:val="28"/>
        </w:rPr>
        <w:t xml:space="preserve">муниципального образования городской округ город Пыть-Ях </w:t>
      </w:r>
    </w:p>
    <w:p w:rsidR="005A6EBC" w:rsidRPr="00216681" w:rsidRDefault="00841758" w:rsidP="005A6EB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на 2021</w:t>
      </w:r>
      <w:r w:rsidR="005A6EBC" w:rsidRPr="00216681">
        <w:rPr>
          <w:sz w:val="28"/>
          <w:szCs w:val="28"/>
        </w:rPr>
        <w:t xml:space="preserve"> год и</w:t>
      </w:r>
      <w:r>
        <w:rPr>
          <w:sz w:val="28"/>
          <w:szCs w:val="28"/>
        </w:rPr>
        <w:t xml:space="preserve"> на</w:t>
      </w:r>
      <w:r w:rsidR="005A6EBC" w:rsidRPr="00216681">
        <w:rPr>
          <w:sz w:val="28"/>
          <w:szCs w:val="28"/>
        </w:rPr>
        <w:t xml:space="preserve"> плановый период </w:t>
      </w:r>
      <w:r>
        <w:rPr>
          <w:sz w:val="28"/>
          <w:szCs w:val="28"/>
        </w:rPr>
        <w:t>2022 и 2023 годов</w:t>
      </w: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841758" w:rsidRDefault="00841758" w:rsidP="00216681">
      <w:pPr>
        <w:spacing w:line="360" w:lineRule="auto"/>
        <w:jc w:val="both"/>
        <w:rPr>
          <w:sz w:val="28"/>
          <w:szCs w:val="28"/>
        </w:rPr>
      </w:pPr>
    </w:p>
    <w:p w:rsidR="00841758" w:rsidRPr="00841758" w:rsidRDefault="005A6EBC" w:rsidP="00841758">
      <w:pPr>
        <w:pStyle w:val="a6"/>
        <w:spacing w:line="360" w:lineRule="auto"/>
        <w:jc w:val="both"/>
        <w:rPr>
          <w:b w:val="0"/>
          <w:sz w:val="28"/>
          <w:szCs w:val="28"/>
        </w:rPr>
      </w:pPr>
      <w:r w:rsidRPr="00216681">
        <w:rPr>
          <w:sz w:val="28"/>
          <w:szCs w:val="28"/>
        </w:rPr>
        <w:tab/>
      </w:r>
      <w:bookmarkStart w:id="1" w:name="_Toc136336773"/>
      <w:r w:rsidR="00841758" w:rsidRPr="00841758">
        <w:rPr>
          <w:b w:val="0"/>
          <w:sz w:val="28"/>
          <w:szCs w:val="28"/>
        </w:rPr>
        <w:t xml:space="preserve">Прогноз социально-экономического развития муниципального образования городской округ город Пыть-Ях на 2021 год и плановый период 2022 и 2023 годов  разработан в соответствии с постановлением Правительства автономного округа от 25.12.2015 № 487-п «О порядке разработки, корректировки, утверждения (одобрения) и осуществлении мониторинга прогноза социально-экономического развития ХМАО-Югры на среднесрочный период и контроля его реализации и признании утратившим силу постановления Правительства ХМАО-Югры от 20.12.2007 № 327-п «О порядке разработки прогноза социально-экономического развития ХМАО-Югры» на основе базового сценария прогноза социально-экономического развития Российской Федерации на соответствующий период.  </w:t>
      </w:r>
    </w:p>
    <w:p w:rsidR="00841758" w:rsidRPr="00841758" w:rsidRDefault="00841758" w:rsidP="00841758">
      <w:pPr>
        <w:tabs>
          <w:tab w:val="left" w:pos="284"/>
          <w:tab w:val="left" w:pos="709"/>
        </w:tabs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</w:r>
      <w:r w:rsidRPr="00841758">
        <w:rPr>
          <w:sz w:val="28"/>
          <w:szCs w:val="28"/>
        </w:rPr>
        <w:tab/>
        <w:t>В базовый сценарий прогноза заложены предпосылки полной реализации разработанного Правительством Российской Федерации комплекса мер, направленных на обеспечение ускорения темпов экономического роста и улучшения демографической ситуации с учетом целей, поставленных Президентом Российской Федерации (Указ Президента Российской Федерации от 21.07.2020 № 474 «О национальных целях развития Российской Федерации на период до 2030 года»).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Показатели отчетного и прогнозируемого периодов основаны на статистической информации за 2019 год, за 1 полугодие 2020 года, обобщения </w:t>
      </w:r>
      <w:r w:rsidRPr="00841758">
        <w:rPr>
          <w:sz w:val="28"/>
          <w:szCs w:val="28"/>
        </w:rPr>
        <w:lastRenderedPageBreak/>
        <w:t>материалов структурных подразделений администрации города, организаций и предприятий, зарегистрированных и осуществляющих свою деятельность на территории города.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</w:r>
      <w:bookmarkEnd w:id="1"/>
      <w:r w:rsidRPr="00841758">
        <w:rPr>
          <w:sz w:val="28"/>
          <w:szCs w:val="28"/>
        </w:rPr>
        <w:t>Методической базой разработки Прогноза являются основные параметры прогноза социально-экономического развития Российской Федерации, краткое описание базового сценария, изменение цен (тарифов) на услуги хозяйствующих субъектов, осуществляющих регулируемые виды деятельности в инфраструктурном секторе на плановый период до 2023 года, индексы-дефляторы, показатели инфляции Российской Федерации и исходные условия для формирования базового варианта развития экономики на период до 2023 года.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Прогноз социально-экономического развития города Пыть-Ях на 2021 год и плановый период до 2023 года выполнен в двух вариантах, первый вариант - консервативный, второй вариант - базовый.</w:t>
      </w:r>
    </w:p>
    <w:p w:rsidR="00841758" w:rsidRPr="00841758" w:rsidRDefault="00841758" w:rsidP="00841758">
      <w:pPr>
        <w:tabs>
          <w:tab w:val="left" w:pos="6015"/>
        </w:tabs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</w:r>
    </w:p>
    <w:p w:rsidR="00841758" w:rsidRPr="00841758" w:rsidRDefault="00841758" w:rsidP="00841758">
      <w:pPr>
        <w:spacing w:line="360" w:lineRule="auto"/>
        <w:jc w:val="center"/>
        <w:rPr>
          <w:sz w:val="28"/>
          <w:szCs w:val="28"/>
        </w:rPr>
      </w:pPr>
      <w:r w:rsidRPr="00841758">
        <w:rPr>
          <w:sz w:val="28"/>
          <w:szCs w:val="28"/>
        </w:rPr>
        <w:t>Общая оценка социально-экономической ситуации</w:t>
      </w:r>
    </w:p>
    <w:p w:rsidR="00841758" w:rsidRPr="00841758" w:rsidRDefault="00841758" w:rsidP="00841758">
      <w:pPr>
        <w:spacing w:line="360" w:lineRule="auto"/>
        <w:jc w:val="center"/>
        <w:rPr>
          <w:sz w:val="28"/>
          <w:szCs w:val="28"/>
        </w:rPr>
      </w:pPr>
      <w:r w:rsidRPr="00841758">
        <w:rPr>
          <w:sz w:val="28"/>
          <w:szCs w:val="28"/>
        </w:rPr>
        <w:t>в муниципальном образовании за отчетный период.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567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Основными показателями достигнутого уровня социально-экономического положения муниципального образования городской округ город Пыть-Ях, благодаря тенденциям макроэкономической устойчивости, сложившейся в Ханты-Мансийском автономном округе – Югре, являются: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69"/>
        <w:gridCol w:w="1408"/>
        <w:gridCol w:w="2051"/>
      </w:tblGrid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center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Показатели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center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2019 год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center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 xml:space="preserve">2020 год </w:t>
            </w:r>
          </w:p>
          <w:p w:rsidR="00841758" w:rsidRPr="00841758" w:rsidRDefault="00841758" w:rsidP="00841758">
            <w:pPr>
              <w:jc w:val="center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(оценка)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both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Объем промышленного производства (В</w:t>
            </w:r>
            <w:r w:rsidRPr="00841758">
              <w:rPr>
                <w:bCs/>
                <w:sz w:val="28"/>
                <w:szCs w:val="28"/>
                <w:lang w:val="en-US"/>
              </w:rPr>
              <w:t>CDE</w:t>
            </w:r>
            <w:r w:rsidRPr="00841758">
              <w:rPr>
                <w:bCs/>
                <w:sz w:val="28"/>
                <w:szCs w:val="28"/>
              </w:rPr>
              <w:t xml:space="preserve">), </w:t>
            </w:r>
            <w:proofErr w:type="spellStart"/>
            <w:r w:rsidRPr="00841758">
              <w:rPr>
                <w:bCs/>
                <w:sz w:val="28"/>
                <w:szCs w:val="28"/>
              </w:rPr>
              <w:t>млрд.руб</w:t>
            </w:r>
            <w:proofErr w:type="spellEnd"/>
            <w:r w:rsidRPr="00841758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21,03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19,73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both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Объем производства продукции сельского хозяйства, млн. руб.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238,23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247,11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both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Объем работ, выполненных по виду экономической деятельности «Строительство», млрд. руб.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1,45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1,52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both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 xml:space="preserve">Ввод в действие жилых домов, </w:t>
            </w:r>
            <w:proofErr w:type="spellStart"/>
            <w:r w:rsidRPr="00841758">
              <w:rPr>
                <w:bCs/>
                <w:sz w:val="28"/>
                <w:szCs w:val="28"/>
              </w:rPr>
              <w:t>кв.м</w:t>
            </w:r>
            <w:proofErr w:type="spellEnd"/>
            <w:r w:rsidRPr="00841758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42,48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30,00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both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 xml:space="preserve">Инвестиции в основной капитал, </w:t>
            </w:r>
            <w:proofErr w:type="spellStart"/>
            <w:r w:rsidRPr="00841758">
              <w:rPr>
                <w:bCs/>
                <w:sz w:val="28"/>
                <w:szCs w:val="28"/>
              </w:rPr>
              <w:t>млрд.руб</w:t>
            </w:r>
            <w:proofErr w:type="spellEnd"/>
            <w:r w:rsidRPr="00841758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2,06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1,84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both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lastRenderedPageBreak/>
              <w:t xml:space="preserve">Оборот розничной торговли, </w:t>
            </w:r>
            <w:proofErr w:type="spellStart"/>
            <w:r w:rsidRPr="00841758">
              <w:rPr>
                <w:bCs/>
                <w:sz w:val="28"/>
                <w:szCs w:val="28"/>
              </w:rPr>
              <w:t>млрд.руб</w:t>
            </w:r>
            <w:proofErr w:type="spellEnd"/>
            <w:r w:rsidRPr="00841758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3,21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3,32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both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 xml:space="preserve">Объем платных услуг населению, </w:t>
            </w:r>
            <w:proofErr w:type="spellStart"/>
            <w:r w:rsidRPr="00841758">
              <w:rPr>
                <w:bCs/>
                <w:sz w:val="28"/>
                <w:szCs w:val="28"/>
              </w:rPr>
              <w:t>млрд.руб</w:t>
            </w:r>
            <w:proofErr w:type="spellEnd"/>
            <w:r w:rsidRPr="00841758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0,42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0,44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rPr>
                <w:sz w:val="28"/>
                <w:szCs w:val="28"/>
              </w:rPr>
            </w:pPr>
            <w:r w:rsidRPr="00841758">
              <w:rPr>
                <w:sz w:val="28"/>
                <w:szCs w:val="28"/>
              </w:rPr>
              <w:t xml:space="preserve">Оборот малых и средних предприятий, включая </w:t>
            </w:r>
            <w:proofErr w:type="spellStart"/>
            <w:r w:rsidRPr="00841758">
              <w:rPr>
                <w:sz w:val="28"/>
                <w:szCs w:val="28"/>
              </w:rPr>
              <w:t>микропредприятия</w:t>
            </w:r>
            <w:proofErr w:type="spellEnd"/>
            <w:r w:rsidRPr="00841758">
              <w:rPr>
                <w:sz w:val="28"/>
                <w:szCs w:val="28"/>
              </w:rPr>
              <w:t xml:space="preserve">, </w:t>
            </w:r>
            <w:proofErr w:type="spellStart"/>
            <w:r w:rsidRPr="00841758">
              <w:rPr>
                <w:bCs/>
                <w:sz w:val="28"/>
                <w:szCs w:val="28"/>
              </w:rPr>
              <w:t>млрд.руб</w:t>
            </w:r>
            <w:proofErr w:type="spellEnd"/>
            <w:r w:rsidRPr="00841758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sz w:val="28"/>
                <w:szCs w:val="28"/>
              </w:rPr>
            </w:pPr>
            <w:r w:rsidRPr="00841758">
              <w:rPr>
                <w:sz w:val="28"/>
                <w:szCs w:val="28"/>
              </w:rPr>
              <w:t>5,30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sz w:val="28"/>
                <w:szCs w:val="28"/>
              </w:rPr>
            </w:pPr>
            <w:r w:rsidRPr="00841758">
              <w:rPr>
                <w:sz w:val="28"/>
                <w:szCs w:val="28"/>
              </w:rPr>
              <w:t>5,30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both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Реальные располагаемые денежные доходы, %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100,5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98,50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both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Среднемесячная заработная плата, рублей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68 225,7</w:t>
            </w:r>
          </w:p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67 884,6</w:t>
            </w:r>
          </w:p>
        </w:tc>
      </w:tr>
    </w:tbl>
    <w:p w:rsidR="00841758" w:rsidRPr="00841758" w:rsidRDefault="00841758" w:rsidP="00841758">
      <w:pPr>
        <w:spacing w:line="360" w:lineRule="auto"/>
        <w:ind w:firstLine="720"/>
        <w:jc w:val="both"/>
        <w:rPr>
          <w:sz w:val="26"/>
          <w:szCs w:val="26"/>
        </w:rPr>
      </w:pPr>
    </w:p>
    <w:p w:rsidR="00841758" w:rsidRPr="00841758" w:rsidRDefault="00841758" w:rsidP="00841758">
      <w:pPr>
        <w:spacing w:line="360" w:lineRule="auto"/>
        <w:ind w:firstLine="720"/>
        <w:jc w:val="center"/>
        <w:rPr>
          <w:sz w:val="28"/>
          <w:szCs w:val="28"/>
        </w:rPr>
      </w:pPr>
      <w:r w:rsidRPr="00841758">
        <w:rPr>
          <w:sz w:val="28"/>
          <w:szCs w:val="28"/>
        </w:rPr>
        <w:t>Промышленное производство</w:t>
      </w:r>
    </w:p>
    <w:p w:rsidR="00841758" w:rsidRDefault="00841758" w:rsidP="00841758">
      <w:pPr>
        <w:spacing w:line="360" w:lineRule="auto"/>
        <w:ind w:firstLine="709"/>
        <w:jc w:val="both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709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При разработке прогноза были учтены особенности сложившейся структуры и объемов отгрузки промышленного производства в 2019 году. Оценка ожидаемых объемов отгруженных товаров в 2020 году осуществлена на основании статистических данных и сложившейся ситуации в стране в целом.</w:t>
      </w:r>
    </w:p>
    <w:p w:rsidR="00841758" w:rsidRPr="00841758" w:rsidRDefault="00841758" w:rsidP="00841758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 xml:space="preserve">За 2019 год предприятиями промышленности отгружено товаров собственного производства на сумму 21,03 млрд. руб., что составляет 70% от общегородского выпуска товаров и услуг за год (30,02 млрд. руб.). </w:t>
      </w:r>
    </w:p>
    <w:p w:rsidR="00841758" w:rsidRPr="00841758" w:rsidRDefault="00841758" w:rsidP="00841758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>В 2020 году планируется производство товаров и услуг промышленного производства на 19,73 млрд. руб. (индекс промышленного производства – 92,16%), к 2023 году прогнозируется 23,08 млрд. руб. (индекс 99,97%) по базовому варианту, в том числе по основным направлениям:</w:t>
      </w:r>
    </w:p>
    <w:p w:rsidR="00841758" w:rsidRPr="00841758" w:rsidRDefault="00841758" w:rsidP="00841758">
      <w:pPr>
        <w:spacing w:line="360" w:lineRule="auto"/>
        <w:jc w:val="both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>- добыча полезных ископаемых – индекс производства 96,6%; к 2023 году – 99,81%;</w:t>
      </w:r>
    </w:p>
    <w:p w:rsidR="00841758" w:rsidRPr="00841758" w:rsidRDefault="00841758" w:rsidP="00841758">
      <w:pPr>
        <w:spacing w:line="360" w:lineRule="auto"/>
        <w:jc w:val="both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>- обрабатывающие производства - индекс производства 97,75%; к 2023 году –100,19%;</w:t>
      </w:r>
    </w:p>
    <w:p w:rsidR="00841758" w:rsidRPr="00841758" w:rsidRDefault="00841758" w:rsidP="00841758">
      <w:pPr>
        <w:spacing w:line="360" w:lineRule="auto"/>
        <w:jc w:val="both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>- обеспечение электрической энергией, газом и паром; кондиционирование воздуха -индекс производства 99,81%; к 2023 году – 100,0%;</w:t>
      </w:r>
    </w:p>
    <w:p w:rsidR="00841758" w:rsidRPr="00841758" w:rsidRDefault="00841758" w:rsidP="00841758">
      <w:pPr>
        <w:spacing w:line="360" w:lineRule="auto"/>
        <w:jc w:val="both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>- водоснабжение; водоотведение, организация сбора утилизации отходов, деятельность по ликвидации загрязнений - индекс производства 100,96%; к 2023 году – 100,0%.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bCs/>
          <w:spacing w:val="4"/>
          <w:position w:val="-2"/>
          <w:sz w:val="28"/>
          <w:szCs w:val="28"/>
        </w:rPr>
      </w:pPr>
      <w:r w:rsidRPr="00841758">
        <w:rPr>
          <w:bCs/>
          <w:sz w:val="28"/>
          <w:szCs w:val="28"/>
        </w:rPr>
        <w:t xml:space="preserve">Ведущим предприятием, определяющим развитие в сфере добычи топливно-энергетических полезных ископаемых, является </w:t>
      </w:r>
      <w:r w:rsidRPr="00841758">
        <w:rPr>
          <w:bCs/>
          <w:spacing w:val="4"/>
          <w:position w:val="-2"/>
          <w:sz w:val="28"/>
          <w:szCs w:val="28"/>
        </w:rPr>
        <w:t>«Южно-</w:t>
      </w:r>
      <w:proofErr w:type="spellStart"/>
      <w:r w:rsidRPr="00841758">
        <w:rPr>
          <w:bCs/>
          <w:spacing w:val="4"/>
          <w:position w:val="-2"/>
          <w:sz w:val="28"/>
          <w:szCs w:val="28"/>
        </w:rPr>
        <w:t>Балыкский</w:t>
      </w:r>
      <w:proofErr w:type="spellEnd"/>
      <w:r w:rsidRPr="00841758">
        <w:rPr>
          <w:bCs/>
          <w:spacing w:val="4"/>
          <w:position w:val="-2"/>
          <w:sz w:val="28"/>
          <w:szCs w:val="28"/>
        </w:rPr>
        <w:t xml:space="preserve"> </w:t>
      </w:r>
      <w:r w:rsidRPr="00841758">
        <w:rPr>
          <w:bCs/>
          <w:spacing w:val="4"/>
          <w:position w:val="-2"/>
          <w:sz w:val="28"/>
          <w:szCs w:val="28"/>
        </w:rPr>
        <w:lastRenderedPageBreak/>
        <w:t>ГПЗ» филиал</w:t>
      </w:r>
      <w:r w:rsidRPr="00841758">
        <w:rPr>
          <w:bCs/>
          <w:sz w:val="28"/>
          <w:szCs w:val="28"/>
        </w:rPr>
        <w:t xml:space="preserve"> АО «</w:t>
      </w:r>
      <w:proofErr w:type="spellStart"/>
      <w:r w:rsidRPr="00841758">
        <w:rPr>
          <w:bCs/>
          <w:sz w:val="28"/>
          <w:szCs w:val="28"/>
        </w:rPr>
        <w:t>СибурТюменьГаз</w:t>
      </w:r>
      <w:proofErr w:type="spellEnd"/>
      <w:r w:rsidRPr="00841758">
        <w:rPr>
          <w:bCs/>
          <w:sz w:val="28"/>
          <w:szCs w:val="28"/>
        </w:rPr>
        <w:t xml:space="preserve">». </w:t>
      </w:r>
      <w:r w:rsidRPr="00841758">
        <w:rPr>
          <w:bCs/>
          <w:spacing w:val="4"/>
          <w:position w:val="-2"/>
          <w:sz w:val="28"/>
          <w:szCs w:val="28"/>
        </w:rPr>
        <w:t>Основным видом деятельности является переработка попутного нефтяного газа нефтяных месторождений ООО «Роснефть-</w:t>
      </w:r>
      <w:proofErr w:type="spellStart"/>
      <w:r w:rsidRPr="00841758">
        <w:rPr>
          <w:bCs/>
          <w:spacing w:val="4"/>
          <w:position w:val="-2"/>
          <w:sz w:val="28"/>
          <w:szCs w:val="28"/>
        </w:rPr>
        <w:t>Юганскнефтегаз</w:t>
      </w:r>
      <w:proofErr w:type="spellEnd"/>
      <w:r w:rsidRPr="00841758">
        <w:rPr>
          <w:bCs/>
          <w:spacing w:val="4"/>
          <w:position w:val="-2"/>
          <w:sz w:val="28"/>
          <w:szCs w:val="28"/>
        </w:rPr>
        <w:t xml:space="preserve">» с максимальным извлечением целевых углеводородов, являющихся основным сырьем для ПАО «СИБУР Холдинг». 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bCs/>
          <w:spacing w:val="4"/>
          <w:position w:val="-2"/>
          <w:sz w:val="28"/>
          <w:szCs w:val="28"/>
        </w:rPr>
        <w:t>Мощности газоперерабатывающего завода позволяют перерабатывать в год не менее 3 млрд. куб. метров попутного нефтяного газа:</w:t>
      </w:r>
      <w:r w:rsidRPr="00841758">
        <w:rPr>
          <w:sz w:val="28"/>
          <w:szCs w:val="28"/>
        </w:rPr>
        <w:t xml:space="preserve"> в 2019 году переработано 3,3 млрд. </w:t>
      </w:r>
      <w:proofErr w:type="spellStart"/>
      <w:r w:rsidRPr="00841758">
        <w:rPr>
          <w:sz w:val="28"/>
          <w:szCs w:val="28"/>
        </w:rPr>
        <w:t>куб.м</w:t>
      </w:r>
      <w:proofErr w:type="spellEnd"/>
      <w:r w:rsidRPr="00841758">
        <w:rPr>
          <w:sz w:val="28"/>
          <w:szCs w:val="28"/>
        </w:rPr>
        <w:t xml:space="preserve">. (100,1% к 2018 году), увеличение выработки сухого газа связано с увеличением поставки попутного нефтяного газа. 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Наиболее крупным промышленным предприятием является ООО «Борец сервис – Нефтеюганск», основной вид деятельности предприятия – предоставление прочих услуг, связанных с добычей нефти и газа.  За 2019 год предприятием по основному виду деятельности оказано услуг на сумму 996,9 млн. руб. (80% к 2018 году). 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Раздел «Обрабатывающие производства» представлен предприятиями, оказывающими услуги по монтажу, ремонту и техническому обслуживанию оборудования; услуги по обработке металлических отходов и лома (такие как ООО «</w:t>
      </w:r>
      <w:proofErr w:type="spellStart"/>
      <w:r w:rsidRPr="00841758">
        <w:rPr>
          <w:sz w:val="28"/>
          <w:szCs w:val="28"/>
        </w:rPr>
        <w:t>Юганск</w:t>
      </w:r>
      <w:proofErr w:type="spellEnd"/>
      <w:r w:rsidRPr="00841758">
        <w:rPr>
          <w:sz w:val="28"/>
          <w:szCs w:val="28"/>
        </w:rPr>
        <w:t xml:space="preserve"> Профит – Центр», ООО «Арсенал» и другие предприятия). 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Производство промышленных газов осуществляется заводом по производству жидкого азота ООО «Группа компаний СА» -  одним из двух имеющихся в Югре предприятий, которое вырабатывает жидкий азот. Жидкий азот данного завода сертифицирован и имеет паспорт качества (Коэффициент фильтрации азота - 99, 999%). Предприятие имеет две установки импортного производства с возможностью выработки жидкого азота полторы тонны в час каждая, свой муфтовый цех, свой железнодорожный тупик, самостоятельно занимается ремонтом НКТ.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По разделу «О</w:t>
      </w:r>
      <w:r w:rsidRPr="00841758">
        <w:rPr>
          <w:bCs/>
          <w:sz w:val="28"/>
          <w:szCs w:val="28"/>
        </w:rPr>
        <w:t xml:space="preserve">беспечение электрической энергией, газом и паром; кондиционирование воздуха» основными представителями являются </w:t>
      </w:r>
      <w:r w:rsidRPr="00841758">
        <w:rPr>
          <w:sz w:val="28"/>
          <w:szCs w:val="28"/>
        </w:rPr>
        <w:t xml:space="preserve">ОАО «Тюменская </w:t>
      </w:r>
      <w:proofErr w:type="spellStart"/>
      <w:r w:rsidRPr="00841758">
        <w:rPr>
          <w:sz w:val="28"/>
          <w:szCs w:val="28"/>
        </w:rPr>
        <w:t>энергосбытовая</w:t>
      </w:r>
      <w:proofErr w:type="spellEnd"/>
      <w:r w:rsidRPr="00841758">
        <w:rPr>
          <w:sz w:val="28"/>
          <w:szCs w:val="28"/>
        </w:rPr>
        <w:t xml:space="preserve"> компания», ОАО «ЮТЭК - Региональные сети», МУП «Управление городского хозяйства». 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lastRenderedPageBreak/>
        <w:t xml:space="preserve">За 2019 год всего потреблено 149,5 млн. кВт. час. электроэнергии (96,1% к 2018 году). К 2023 году объем потребления электроэнергии снизится на 0,6%, потребление составит на уровне 148,58 млн. </w:t>
      </w:r>
      <w:proofErr w:type="spellStart"/>
      <w:r w:rsidRPr="00841758">
        <w:rPr>
          <w:sz w:val="28"/>
          <w:szCs w:val="28"/>
        </w:rPr>
        <w:t>кВт.час</w:t>
      </w:r>
      <w:proofErr w:type="spellEnd"/>
      <w:r w:rsidRPr="00841758">
        <w:rPr>
          <w:sz w:val="28"/>
          <w:szCs w:val="28"/>
        </w:rPr>
        <w:t>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В разделе «Водоснабжение; водоотведение, организация сбора и утилизации отходов, деятельность по ликвидации загрязнений» основным предприятием является МУП «Управление городского хозяйства». </w:t>
      </w:r>
    </w:p>
    <w:p w:rsid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В отчетном и прогнозируемом периоде динамика производства и отгрузки промышленной продукции, в том числе основных видов деятельности, характеризуется как стабильная. </w:t>
      </w:r>
    </w:p>
    <w:p w:rsid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720"/>
        <w:jc w:val="center"/>
        <w:rPr>
          <w:sz w:val="28"/>
          <w:szCs w:val="28"/>
        </w:rPr>
      </w:pPr>
      <w:r w:rsidRPr="00841758">
        <w:rPr>
          <w:kern w:val="28"/>
          <w:sz w:val="28"/>
          <w:szCs w:val="28"/>
        </w:rPr>
        <w:t>Инвестиции</w:t>
      </w:r>
    </w:p>
    <w:p w:rsidR="00841758" w:rsidRPr="00841758" w:rsidRDefault="00841758" w:rsidP="00841758">
      <w:pPr>
        <w:tabs>
          <w:tab w:val="left" w:pos="709"/>
        </w:tabs>
        <w:spacing w:line="360" w:lineRule="auto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>Капитал инвестиций города Пыть-Яха в основном состоит из инвестиционных вложений в вид экономической деятельности «Добыча полезных ископаемых» и виды экономической деятельности, связанные с жизнеобеспечением городской инфраструктуры и социальным развитием города.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Объем инвестиций в основной капитал по полному кругу предприятий за счет всех источников финансирования за 2019 год составил 2 056,61 млн. руб., объем инвестиций в основной капитал по крупным и средним предприятиям (без субъектов малого предпринимательства) за счет всех источников финансирования за 2019 год составил 1 713,84 млн. руб. (снижение на 14,7% в действующих и на 60,4% в сопоставимых ценах относительно 2018 года).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Снижение роста объема инвестиций обусловлено завершением реализации в декабре 2018 года АО «</w:t>
      </w:r>
      <w:proofErr w:type="spellStart"/>
      <w:r w:rsidRPr="00841758">
        <w:rPr>
          <w:sz w:val="28"/>
          <w:szCs w:val="28"/>
        </w:rPr>
        <w:t>СибурТюменьГаз</w:t>
      </w:r>
      <w:proofErr w:type="spellEnd"/>
      <w:r w:rsidRPr="00841758">
        <w:rPr>
          <w:sz w:val="28"/>
          <w:szCs w:val="28"/>
        </w:rPr>
        <w:t>» крупного инвестиционного проекта: «Установка глубокой очистки ШФЛУ».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Источниками финансирования инвестиций в основной капитал в 2019 году в большей части стали собственные средства (93,2%), доля привлеченных средств составила 6,8%, из которых 98,9% - средства бюджетов всех уровней.  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lastRenderedPageBreak/>
        <w:t xml:space="preserve">АО «ЮТЭК-Региональные сети» является постоянным инвестором в сфере энергосбережения на территории города. Объем финансирования инвестиционной программы предприятия на 2018-2022 гг., составляет 398,94 </w:t>
      </w:r>
      <w:proofErr w:type="spellStart"/>
      <w:r w:rsidRPr="00841758">
        <w:rPr>
          <w:sz w:val="28"/>
          <w:szCs w:val="28"/>
        </w:rPr>
        <w:t>млн.руб</w:t>
      </w:r>
      <w:proofErr w:type="spellEnd"/>
      <w:r w:rsidRPr="00841758">
        <w:rPr>
          <w:sz w:val="28"/>
          <w:szCs w:val="28"/>
        </w:rPr>
        <w:t xml:space="preserve">., который предусматривает новое строительство 8 объектов и техническое перевооружение (реконструкцию) 14 объектов. За 2018 год инвестировано всего 63,7 млн. рублей. </w:t>
      </w:r>
    </w:p>
    <w:p w:rsidR="00841758" w:rsidRPr="00841758" w:rsidRDefault="00841758" w:rsidP="00841758">
      <w:pPr>
        <w:tabs>
          <w:tab w:val="left" w:pos="426"/>
        </w:tabs>
        <w:spacing w:line="360" w:lineRule="auto"/>
        <w:ind w:firstLine="426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  <w:t xml:space="preserve">В 2020 году, по оценке, объем инвестиций в основной капитал за счет всех источников финансирования по полному кругу предприятий ожидается в сумме          1 842,72 млн. руб., к 2019 году в сопоставимых ценах составит 86,8%. К 2023 году объем инвестиций достигнет 2 169,96 </w:t>
      </w:r>
      <w:proofErr w:type="spellStart"/>
      <w:r w:rsidRPr="00841758">
        <w:rPr>
          <w:sz w:val="28"/>
          <w:szCs w:val="28"/>
        </w:rPr>
        <w:t>млн.руб</w:t>
      </w:r>
      <w:proofErr w:type="spellEnd"/>
      <w:r w:rsidRPr="00841758">
        <w:rPr>
          <w:sz w:val="28"/>
          <w:szCs w:val="28"/>
        </w:rPr>
        <w:t>. (по базовому варианту), темп роста по отношению к 2019 году - 105,5%. Как и в предыдущие периоды, основную долю инвестиций будут составлять собственные средства предприятий (организаций).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b/>
          <w:sz w:val="28"/>
          <w:szCs w:val="28"/>
        </w:rPr>
        <w:tab/>
      </w:r>
      <w:r w:rsidRPr="00841758">
        <w:rPr>
          <w:sz w:val="28"/>
          <w:szCs w:val="28"/>
        </w:rPr>
        <w:t xml:space="preserve">В соответствии с градостроительными планом города Пыть-Яха, в микрорайоне №1 «Центральный» в рамках комплексной застройки территории, ОАО «Дорожно-строительной компанией «АВТОБАН» завершено строительство школы-сада на 550 мест. Рядом с образовательным учреждением, возводятся 3 многоквартирных дома. Застройщиком является ООО «УК «Центр Менеджмент» Д.У. ЗПИФ комбинированным «СПС </w:t>
      </w:r>
      <w:proofErr w:type="spellStart"/>
      <w:r w:rsidRPr="00841758">
        <w:rPr>
          <w:sz w:val="28"/>
          <w:szCs w:val="28"/>
        </w:rPr>
        <w:t>Югория</w:t>
      </w:r>
      <w:proofErr w:type="spellEnd"/>
      <w:r w:rsidRPr="00841758">
        <w:rPr>
          <w:sz w:val="28"/>
          <w:szCs w:val="28"/>
        </w:rPr>
        <w:t>».</w:t>
      </w:r>
    </w:p>
    <w:p w:rsidR="00841758" w:rsidRPr="00841758" w:rsidRDefault="00841758" w:rsidP="00841758">
      <w:pPr>
        <w:tabs>
          <w:tab w:val="left" w:pos="426"/>
        </w:tabs>
        <w:spacing w:line="360" w:lineRule="auto"/>
        <w:ind w:firstLine="426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В прогнозируемом периоде 2020-2023гг планируется инвестирование следующих направлений экономической деятельности города: </w:t>
      </w:r>
    </w:p>
    <w:p w:rsidR="00841758" w:rsidRPr="00841758" w:rsidRDefault="00841758" w:rsidP="00841758">
      <w:pPr>
        <w:tabs>
          <w:tab w:val="left" w:pos="426"/>
        </w:tabs>
        <w:spacing w:line="360" w:lineRule="auto"/>
        <w:ind w:firstLine="426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- образование и спорт: ведутся подготовительные работы по строительству школы на 1000 мест (инвестор не определен), спортивно-досугового комплекса (инвестор ООО «РН-</w:t>
      </w:r>
      <w:proofErr w:type="spellStart"/>
      <w:r w:rsidRPr="00841758">
        <w:rPr>
          <w:sz w:val="28"/>
          <w:szCs w:val="28"/>
        </w:rPr>
        <w:t>Юганскнефтегаз</w:t>
      </w:r>
      <w:proofErr w:type="spellEnd"/>
      <w:r w:rsidRPr="00841758">
        <w:rPr>
          <w:sz w:val="28"/>
          <w:szCs w:val="28"/>
        </w:rPr>
        <w:t>»);</w:t>
      </w:r>
    </w:p>
    <w:p w:rsidR="00841758" w:rsidRPr="00841758" w:rsidRDefault="00841758" w:rsidP="00841758">
      <w:pPr>
        <w:tabs>
          <w:tab w:val="left" w:pos="426"/>
        </w:tabs>
        <w:spacing w:line="360" w:lineRule="auto"/>
        <w:ind w:firstLine="426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- жилищно-коммунальная сфера: ведутся подготовительные работы по передаче объектов тепло-водоснабжения и водоотведения в концессию; ведутся проектные работы по реконструкции объектов коммунального комплекса «ВОС-3», «ВОС-1 (2 очередь)» в рамках Адресной инвестиционной программы Ханты-Мансийского автономного округа-Югры на 2020 год и на плановый период 2021 и 2022 годов, строительство КНС в </w:t>
      </w:r>
      <w:proofErr w:type="spellStart"/>
      <w:r w:rsidRPr="00841758">
        <w:rPr>
          <w:sz w:val="28"/>
          <w:szCs w:val="28"/>
        </w:rPr>
        <w:t>мкр</w:t>
      </w:r>
      <w:proofErr w:type="spellEnd"/>
      <w:r w:rsidRPr="00841758">
        <w:rPr>
          <w:sz w:val="28"/>
          <w:szCs w:val="28"/>
        </w:rPr>
        <w:t>. 6 «Пионерный» (инвестор не определен);</w:t>
      </w:r>
    </w:p>
    <w:p w:rsidR="00841758" w:rsidRPr="00841758" w:rsidRDefault="00841758" w:rsidP="00841758">
      <w:pPr>
        <w:tabs>
          <w:tab w:val="left" w:pos="426"/>
        </w:tabs>
        <w:spacing w:line="360" w:lineRule="auto"/>
        <w:ind w:firstLine="426"/>
        <w:jc w:val="both"/>
        <w:rPr>
          <w:sz w:val="28"/>
          <w:szCs w:val="28"/>
        </w:rPr>
      </w:pPr>
      <w:r w:rsidRPr="00841758">
        <w:rPr>
          <w:sz w:val="28"/>
          <w:szCs w:val="28"/>
        </w:rPr>
        <w:lastRenderedPageBreak/>
        <w:t xml:space="preserve">- транспортная система: ведутся подготовительные работы по реконструкции железнодорожного вокзала (инвестор ОАО «Российские железные дороги»), строительство автомобильной дороги по ул. Православная к больничному комплексу с </w:t>
      </w:r>
      <w:proofErr w:type="spellStart"/>
      <w:r w:rsidRPr="00841758">
        <w:rPr>
          <w:sz w:val="28"/>
          <w:szCs w:val="28"/>
        </w:rPr>
        <w:t>закольцовкой</w:t>
      </w:r>
      <w:proofErr w:type="spellEnd"/>
      <w:r w:rsidRPr="00841758">
        <w:rPr>
          <w:sz w:val="28"/>
          <w:szCs w:val="28"/>
        </w:rPr>
        <w:t xml:space="preserve"> к п. Горка (инвестор не определен).</w:t>
      </w:r>
    </w:p>
    <w:p w:rsidR="00841758" w:rsidRPr="00841758" w:rsidRDefault="00841758" w:rsidP="00841758">
      <w:pPr>
        <w:tabs>
          <w:tab w:val="num" w:pos="540"/>
        </w:tabs>
        <w:spacing w:line="360" w:lineRule="auto"/>
        <w:jc w:val="both"/>
        <w:rPr>
          <w:bCs/>
          <w:sz w:val="28"/>
          <w:szCs w:val="28"/>
        </w:rPr>
      </w:pPr>
      <w:r w:rsidRPr="00841758">
        <w:rPr>
          <w:sz w:val="28"/>
          <w:szCs w:val="28"/>
        </w:rPr>
        <w:tab/>
      </w:r>
      <w:r w:rsidRPr="00841758">
        <w:rPr>
          <w:bCs/>
          <w:sz w:val="28"/>
          <w:szCs w:val="28"/>
        </w:rPr>
        <w:t xml:space="preserve"> </w:t>
      </w:r>
      <w:r w:rsidRPr="00841758">
        <w:rPr>
          <w:bCs/>
          <w:sz w:val="28"/>
          <w:szCs w:val="28"/>
        </w:rPr>
        <w:tab/>
        <w:t xml:space="preserve">Основным фактором, определяющим изменения динамического развития инвестиций города, является завершение реализации масштабных промышленных инвестиционных проектов, продолжение реализации проектов социальной сферы и коммунального хозяйства. </w:t>
      </w:r>
    </w:p>
    <w:p w:rsidR="00841758" w:rsidRPr="00841758" w:rsidRDefault="00841758" w:rsidP="00841758">
      <w:pPr>
        <w:spacing w:line="360" w:lineRule="auto"/>
        <w:rPr>
          <w:sz w:val="28"/>
          <w:szCs w:val="28"/>
        </w:rPr>
      </w:pPr>
    </w:p>
    <w:p w:rsidR="00841758" w:rsidRPr="00841758" w:rsidRDefault="00841758" w:rsidP="00841758">
      <w:pPr>
        <w:autoSpaceDE w:val="0"/>
        <w:autoSpaceDN w:val="0"/>
        <w:adjustRightInd w:val="0"/>
        <w:spacing w:line="360" w:lineRule="auto"/>
        <w:ind w:firstLine="540"/>
        <w:jc w:val="center"/>
        <w:rPr>
          <w:sz w:val="28"/>
          <w:szCs w:val="28"/>
          <w:shd w:val="clear" w:color="auto" w:fill="FFFFFF"/>
        </w:rPr>
      </w:pPr>
      <w:r w:rsidRPr="00841758">
        <w:rPr>
          <w:sz w:val="28"/>
          <w:szCs w:val="28"/>
        </w:rPr>
        <w:t>Строительство</w:t>
      </w:r>
    </w:p>
    <w:p w:rsidR="00841758" w:rsidRPr="00841758" w:rsidRDefault="00841758" w:rsidP="00841758">
      <w:pPr>
        <w:snapToGrid w:val="0"/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</w:r>
    </w:p>
    <w:p w:rsidR="00841758" w:rsidRPr="00841758" w:rsidRDefault="00841758" w:rsidP="00841758">
      <w:pPr>
        <w:spacing w:line="360" w:lineRule="auto"/>
        <w:ind w:firstLine="709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Работы и услуги собственными силами крупных и средних предприятий и организаций</w:t>
      </w:r>
      <w:r w:rsidRPr="00841758">
        <w:rPr>
          <w:sz w:val="28"/>
          <w:szCs w:val="28"/>
        </w:rPr>
        <w:tab/>
        <w:t xml:space="preserve">по чистому виду деятельности «Строительство» за 2019 год выполнены на сумму 1,45 млрд. руб.  (99,53% в сопоставимых ценах относительно 2018 года). 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  <w:t xml:space="preserve">В 2019 году введено в эксплуатацию 42 486,2 </w:t>
      </w:r>
      <w:proofErr w:type="spellStart"/>
      <w:r w:rsidRPr="00841758">
        <w:rPr>
          <w:sz w:val="28"/>
          <w:szCs w:val="28"/>
        </w:rPr>
        <w:t>кв.м</w:t>
      </w:r>
      <w:proofErr w:type="spellEnd"/>
      <w:r w:rsidRPr="00841758">
        <w:rPr>
          <w:sz w:val="28"/>
          <w:szCs w:val="28"/>
        </w:rPr>
        <w:t xml:space="preserve"> жилья (2018 год – 12 122,9 кв. м) - 28 объектов индивидуального жилищного строительства, 4 многоквартирных дома Годовой план общего объема жилищного строительства (40,0 тыс. </w:t>
      </w:r>
      <w:proofErr w:type="spellStart"/>
      <w:r w:rsidRPr="00841758">
        <w:rPr>
          <w:sz w:val="28"/>
          <w:szCs w:val="28"/>
        </w:rPr>
        <w:t>кв.м</w:t>
      </w:r>
      <w:proofErr w:type="spellEnd"/>
      <w:r w:rsidRPr="00841758">
        <w:rPr>
          <w:sz w:val="28"/>
          <w:szCs w:val="28"/>
        </w:rPr>
        <w:t>.) выполнен на 106,2%. Обеспеченность жильем по итогам 2019 года составила 18,5 квадратных метра в среднем на одного жителя города.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В 2020 году ожидается ввод 30,0 тыс. кв. метров, в 2021-2023 </w:t>
      </w:r>
      <w:proofErr w:type="spellStart"/>
      <w:r w:rsidRPr="00841758">
        <w:rPr>
          <w:sz w:val="28"/>
          <w:szCs w:val="28"/>
        </w:rPr>
        <w:t>гг</w:t>
      </w:r>
      <w:proofErr w:type="spellEnd"/>
      <w:r w:rsidRPr="00841758">
        <w:rPr>
          <w:sz w:val="28"/>
          <w:szCs w:val="28"/>
        </w:rPr>
        <w:t xml:space="preserve"> прогноз жилищного строительства составляет 91,1 </w:t>
      </w:r>
      <w:proofErr w:type="spellStart"/>
      <w:r w:rsidRPr="00841758">
        <w:rPr>
          <w:sz w:val="28"/>
          <w:szCs w:val="28"/>
        </w:rPr>
        <w:t>тыс.кв</w:t>
      </w:r>
      <w:proofErr w:type="spellEnd"/>
      <w:r w:rsidRPr="00841758">
        <w:rPr>
          <w:sz w:val="28"/>
          <w:szCs w:val="28"/>
        </w:rPr>
        <w:t>. метров.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  <w:t xml:space="preserve">По состоянию на 01.01.2020 года общая площадь жилищного фонда составила 729,7 тыс. кв. м., увеличившись на 4,6% (697,4 тыс. </w:t>
      </w:r>
      <w:proofErr w:type="spellStart"/>
      <w:r w:rsidRPr="00841758">
        <w:rPr>
          <w:sz w:val="28"/>
          <w:szCs w:val="28"/>
        </w:rPr>
        <w:t>кв.м</w:t>
      </w:r>
      <w:proofErr w:type="spellEnd"/>
      <w:r w:rsidRPr="00841758">
        <w:rPr>
          <w:sz w:val="28"/>
          <w:szCs w:val="28"/>
        </w:rPr>
        <w:t xml:space="preserve">.) по сравнению с 2018 годом.  Основную долю жилых помещений – 95,8% составляет благоустроенное и пригодное для проживания жилье (667,8 </w:t>
      </w:r>
      <w:proofErr w:type="spellStart"/>
      <w:r w:rsidRPr="00841758">
        <w:rPr>
          <w:sz w:val="28"/>
          <w:szCs w:val="28"/>
        </w:rPr>
        <w:t>тыс.кв</w:t>
      </w:r>
      <w:proofErr w:type="spellEnd"/>
      <w:r w:rsidRPr="00841758">
        <w:rPr>
          <w:sz w:val="28"/>
          <w:szCs w:val="28"/>
        </w:rPr>
        <w:t xml:space="preserve">. метров), 4,2% - ветхий, аварийный и прочий жилищный фонд (29,6 </w:t>
      </w:r>
      <w:proofErr w:type="spellStart"/>
      <w:r w:rsidRPr="00841758">
        <w:rPr>
          <w:sz w:val="28"/>
          <w:szCs w:val="28"/>
        </w:rPr>
        <w:t>тыс.кв</w:t>
      </w:r>
      <w:proofErr w:type="spellEnd"/>
      <w:r w:rsidRPr="00841758">
        <w:rPr>
          <w:sz w:val="28"/>
          <w:szCs w:val="28"/>
        </w:rPr>
        <w:t xml:space="preserve">. метров). </w:t>
      </w:r>
    </w:p>
    <w:p w:rsidR="00841758" w:rsidRPr="00841758" w:rsidRDefault="00841758" w:rsidP="0084175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 В связи с прогнозируемой динамикой ввода жилья к 2023 году и сносом ветхого и аварийного жилищного фонда доля благоустроенного и пригодного для проживания жилья составит 100%. Обеспеченность жильем в 2023 году </w:t>
      </w:r>
      <w:r w:rsidRPr="00841758">
        <w:rPr>
          <w:sz w:val="28"/>
          <w:szCs w:val="28"/>
        </w:rPr>
        <w:lastRenderedPageBreak/>
        <w:t>составит 20,0 квадратных метра в среднем на одного жителя города.</w:t>
      </w:r>
    </w:p>
    <w:p w:rsidR="00841758" w:rsidRPr="00841758" w:rsidRDefault="00841758" w:rsidP="00841758">
      <w:pPr>
        <w:spacing w:line="360" w:lineRule="auto"/>
        <w:ind w:firstLine="709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Кроме жилищного строительства, в отчетном периоде были построены (реконструированы) торговые объекты, завершено строительство комплекса «Школа - Детский Сад (330 учащихся/220 мест) (Общеобразовательная организация с универсальной </w:t>
      </w:r>
      <w:proofErr w:type="spellStart"/>
      <w:r w:rsidRPr="00841758">
        <w:rPr>
          <w:sz w:val="28"/>
          <w:szCs w:val="28"/>
        </w:rPr>
        <w:t>безбарьерной</w:t>
      </w:r>
      <w:proofErr w:type="spellEnd"/>
      <w:r w:rsidRPr="00841758">
        <w:rPr>
          <w:sz w:val="28"/>
          <w:szCs w:val="28"/>
        </w:rPr>
        <w:t xml:space="preserve"> средой)».</w:t>
      </w:r>
    </w:p>
    <w:p w:rsidR="00841758" w:rsidRPr="00841758" w:rsidRDefault="00841758" w:rsidP="00841758">
      <w:pPr>
        <w:spacing w:line="360" w:lineRule="auto"/>
        <w:ind w:firstLine="720"/>
        <w:jc w:val="center"/>
        <w:rPr>
          <w:bCs/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720"/>
        <w:jc w:val="center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>Потребительский рынок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b/>
          <w:bCs/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Формирование потребительского рынка на территории города складывается на основе динамики реальных располагаемых денежных доходов населения, потребительского кредитования, проведенной индексации заработных плат и пенсий, увеличения торговых площадей, в совокупности с колебанием национальной валюты и инфляции.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  <w:t xml:space="preserve"> Розничный товарооборот в 2019 году сложился в пределах 3,21 млрд. рублей при индексе 104,73%, в 2020 году оценивается 3,32 млрд. руб. при индексе 100,19%, к 2023 году оборот торговли составит 3,73 млрд. руб. при индексе 100,1% (по базовому варианту). 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На 01.01.2020 года инфраструктуру потребительского рынка в городе составляют 17 торговых центров, 290 продовольственных, непродовольственных и универсальных магазинов, а также 51 объект нестационарной торговли.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rFonts w:eastAsia="Calibri"/>
          <w:sz w:val="28"/>
          <w:szCs w:val="28"/>
        </w:rPr>
      </w:pPr>
      <w:r w:rsidRPr="00841758">
        <w:rPr>
          <w:rFonts w:eastAsia="Calibri"/>
          <w:sz w:val="28"/>
          <w:szCs w:val="28"/>
        </w:rPr>
        <w:t xml:space="preserve">На сегодняшний день в городе осуществляют свою деятельность 32 торговые сети федерального и регионального уровней в 55 торговых объектах общей площадью 11 571 </w:t>
      </w:r>
      <w:proofErr w:type="spellStart"/>
      <w:r w:rsidRPr="00841758">
        <w:rPr>
          <w:rFonts w:eastAsia="Calibri"/>
          <w:sz w:val="28"/>
          <w:szCs w:val="28"/>
        </w:rPr>
        <w:t>кв.м</w:t>
      </w:r>
      <w:proofErr w:type="spellEnd"/>
      <w:r w:rsidRPr="00841758">
        <w:rPr>
          <w:rFonts w:eastAsia="Calibri"/>
          <w:sz w:val="28"/>
          <w:szCs w:val="28"/>
        </w:rPr>
        <w:t xml:space="preserve">, в том числе представлены торговые марки федерального значения – это магазины: «Магнит», «Пятерочка», «Монетка», «Красное Белое», «Продукты </w:t>
      </w:r>
      <w:proofErr w:type="spellStart"/>
      <w:r w:rsidRPr="00841758">
        <w:rPr>
          <w:rFonts w:eastAsia="Calibri"/>
          <w:sz w:val="28"/>
          <w:szCs w:val="28"/>
        </w:rPr>
        <w:t>Ермолино</w:t>
      </w:r>
      <w:proofErr w:type="spellEnd"/>
      <w:r w:rsidRPr="00841758">
        <w:rPr>
          <w:rFonts w:eastAsia="Calibri"/>
          <w:sz w:val="28"/>
          <w:szCs w:val="28"/>
        </w:rPr>
        <w:t>», «Светофор», магазины цифровой и бытовой техники «DNS» и «RBT.ru», салоны связи «Евросеть», «Связной», «Мегафон», «Теле2»; «Кари», «</w:t>
      </w:r>
      <w:proofErr w:type="spellStart"/>
      <w:r w:rsidRPr="00841758">
        <w:rPr>
          <w:rFonts w:eastAsia="Calibri"/>
          <w:sz w:val="28"/>
          <w:szCs w:val="28"/>
        </w:rPr>
        <w:t>Галамарт</w:t>
      </w:r>
      <w:proofErr w:type="spellEnd"/>
      <w:r w:rsidRPr="00841758">
        <w:rPr>
          <w:rFonts w:eastAsia="Calibri"/>
          <w:sz w:val="28"/>
          <w:szCs w:val="28"/>
        </w:rPr>
        <w:t xml:space="preserve">», «Магнит </w:t>
      </w:r>
      <w:proofErr w:type="spellStart"/>
      <w:r w:rsidRPr="00841758">
        <w:rPr>
          <w:rFonts w:eastAsia="Calibri"/>
          <w:sz w:val="28"/>
          <w:szCs w:val="28"/>
        </w:rPr>
        <w:t>Косметик</w:t>
      </w:r>
      <w:proofErr w:type="spellEnd"/>
      <w:r w:rsidRPr="00841758">
        <w:rPr>
          <w:rFonts w:eastAsia="Calibri"/>
          <w:sz w:val="28"/>
          <w:szCs w:val="28"/>
        </w:rPr>
        <w:t>», «</w:t>
      </w:r>
      <w:proofErr w:type="spellStart"/>
      <w:r w:rsidRPr="00841758">
        <w:rPr>
          <w:rFonts w:eastAsia="Calibri"/>
          <w:sz w:val="28"/>
          <w:szCs w:val="28"/>
        </w:rPr>
        <w:t>Sela</w:t>
      </w:r>
      <w:proofErr w:type="spellEnd"/>
      <w:r w:rsidRPr="00841758">
        <w:rPr>
          <w:rFonts w:eastAsia="Calibri"/>
          <w:sz w:val="28"/>
          <w:szCs w:val="28"/>
        </w:rPr>
        <w:t>» и другие.</w:t>
      </w:r>
    </w:p>
    <w:p w:rsidR="00841758" w:rsidRPr="00841758" w:rsidRDefault="00841758" w:rsidP="00841758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Объем платных услуг, предоставленных населению города, в 2020 году оценивается в 0,44 млрд. руб. (индекс 100,29%), к 2023 году прогнозируется на </w:t>
      </w:r>
      <w:r w:rsidRPr="00841758">
        <w:rPr>
          <w:sz w:val="28"/>
          <w:szCs w:val="28"/>
        </w:rPr>
        <w:lastRenderedPageBreak/>
        <w:t xml:space="preserve">уровне 0,49 млрд. руб., что составит 116,5% к 2019 году ценах соответствующих лет. </w:t>
      </w:r>
    </w:p>
    <w:p w:rsidR="00841758" w:rsidRPr="00841758" w:rsidRDefault="00841758" w:rsidP="00841758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Востребованными платными услугами, предоставляемыми населению, в прогнозном периоде будут оставаться услуги обязательного характера: жилищно-коммунальные, услуги пассажирского транспорта и услуги связи. </w:t>
      </w:r>
    </w:p>
    <w:p w:rsidR="00841758" w:rsidRPr="00841758" w:rsidRDefault="00841758" w:rsidP="00841758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bCs/>
          <w:sz w:val="28"/>
          <w:szCs w:val="28"/>
        </w:rPr>
        <w:t>В текущем прогнозе применен индекс потребительских цен, рекомендуемый Министерством экономического развития РФ. В целях сохранения стабильного социально-экономического положения на территории города и сохранения уровня инфляции в допустимых пределах, на прогнозируемый период установлены индексы 103% в 2019 году, 103,5% в 2020 году, 104,0% в 2021 -2023 годах.</w:t>
      </w:r>
    </w:p>
    <w:p w:rsidR="00841758" w:rsidRPr="00841758" w:rsidRDefault="00841758" w:rsidP="00841758">
      <w:pPr>
        <w:spacing w:line="360" w:lineRule="auto"/>
        <w:ind w:firstLine="709"/>
        <w:jc w:val="center"/>
        <w:rPr>
          <w:bCs/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709"/>
        <w:jc w:val="center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>Уровень жизни населения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bCs/>
          <w:sz w:val="28"/>
          <w:szCs w:val="28"/>
        </w:rPr>
      </w:pPr>
    </w:p>
    <w:p w:rsidR="00841758" w:rsidRPr="00841758" w:rsidRDefault="00841758" w:rsidP="00841758">
      <w:pPr>
        <w:snapToGrid w:val="0"/>
        <w:spacing w:line="360" w:lineRule="auto"/>
        <w:ind w:firstLine="720"/>
        <w:jc w:val="both"/>
        <w:rPr>
          <w:bCs/>
          <w:sz w:val="28"/>
          <w:szCs w:val="28"/>
        </w:rPr>
      </w:pPr>
      <w:r w:rsidRPr="00841758">
        <w:rPr>
          <w:sz w:val="28"/>
          <w:szCs w:val="28"/>
        </w:rPr>
        <w:t xml:space="preserve">Уровень жизни горожан в настоящий и планируемые периоды характеризуется как относительно стабильный. Незначительный рост заработной платы прогнозируется в некоторых отраслях экономики города вследствие доведения размера МРОТ до прожиточного минимума. На территории города, в соответствии с Указом Президента Российской Федерации от 7 мая 2012 года № 597 «О мероприятиях по реализации государственной социальной политики» продолжается реализация мер по достижению примерных (индикативных) значений соотношения средней заработной платы отдельных категорий работников муниципальных учреждений к средней заработной плате по ХМАО-Югре. Приняты «дорожные карты» – планы мероприятий в сферах образования, культуры, предусматривающие мероприятия, направленные на увеличение заработной платы работников.  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bCs/>
          <w:sz w:val="28"/>
          <w:szCs w:val="28"/>
        </w:rPr>
        <w:t xml:space="preserve">Реальные располагаемые денежные доходы населения в 2019 году составили 100,5%, в 2020 году по оценке составят 98,5%, к 2023 году достигнут 102,3% по базовому варианту. </w:t>
      </w:r>
      <w:r w:rsidRPr="00841758">
        <w:rPr>
          <w:sz w:val="28"/>
          <w:szCs w:val="28"/>
        </w:rPr>
        <w:t xml:space="preserve">Обязательства населения обслуживать кредиты, взятые в прошлые периоды, а также сложившаяся ситуация в связи с пандемией, </w:t>
      </w:r>
      <w:r w:rsidRPr="00841758">
        <w:rPr>
          <w:sz w:val="28"/>
          <w:szCs w:val="28"/>
        </w:rPr>
        <w:lastRenderedPageBreak/>
        <w:t>выступили дополнительной финансовой нагрузкой и снизили реально располагаемые доходы населения.</w:t>
      </w:r>
    </w:p>
    <w:p w:rsidR="00841758" w:rsidRPr="00841758" w:rsidRDefault="00841758" w:rsidP="00841758">
      <w:pPr>
        <w:tabs>
          <w:tab w:val="left" w:pos="709"/>
        </w:tabs>
        <w:autoSpaceDE w:val="0"/>
        <w:autoSpaceDN w:val="0"/>
        <w:adjustRightInd w:val="0"/>
        <w:spacing w:line="360" w:lineRule="auto"/>
        <w:jc w:val="both"/>
        <w:rPr>
          <w:bCs/>
          <w:sz w:val="28"/>
          <w:szCs w:val="28"/>
        </w:rPr>
      </w:pPr>
      <w:r w:rsidRPr="00841758">
        <w:rPr>
          <w:sz w:val="28"/>
          <w:szCs w:val="28"/>
        </w:rPr>
        <w:tab/>
      </w:r>
    </w:p>
    <w:p w:rsidR="00841758" w:rsidRPr="00841758" w:rsidRDefault="00841758" w:rsidP="00841758">
      <w:pPr>
        <w:spacing w:line="360" w:lineRule="auto"/>
        <w:jc w:val="center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>Труд и занятость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Численность рабочей силы неразрывно зависит от половозрастного состава населения, от их желания и потенциальных возможностей повысить свои денежные доходы.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На конец 2019 года численность трудовых ресурсов составила 25,91 тыс. человек. На 2020 год численность трудовых ресурсов оценивается в размере 26,01 тыс. человек. В результате увеличения продолжительности здоровой жизни в совокупности с повышением пенсионного возраста возрастет уровень рабочей силы к 2023 году увеличится до 26,15 тыс. человек по базовому варианту (100,9% к 2019 году). 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Численность занятых в экономике в 2019 году составила 21,8 тыс. человек населения, в 2020 году оценивается в 21,87 тыс. человек. К 2023 году численность данной категории составит 22,03 тыс. человек. Рост численности занятых в экономике обусловлен вводом объектов промышленности и социальной сферы, предусматривающим создание постоянных рабочих мест. 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Среднесписочная численность работников организаций (без внешних совместителей) в 2019 году составила 15,23 тыс. человек, в 2020 году, по оценке, - 15,60 тыс. человек (рост 2,4%), к 2023 году – 15,80 тыс. человек (по базовому варианту, рост 3,7% к 2019 году. </w:t>
      </w:r>
    </w:p>
    <w:p w:rsidR="00841758" w:rsidRPr="00841758" w:rsidRDefault="00841758" w:rsidP="00841758">
      <w:pPr>
        <w:spacing w:line="360" w:lineRule="auto"/>
        <w:ind w:firstLine="709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В 2019 году, в результате реализации мероприятий муниципальной программы «Поддержка занятости населения в городе Пыть-Яхе», направленных на обеспечение государственных гарантий в области содействия занятости населения на территории муниципального образования городской округ город Пыть-Ях, создано 324 временных рабочих места в муниципальных учреждениях, из них: 300 - для несовершеннолетних граждан в возрасте от  14 до 18 лет, 2 -  для граждан пенсионного возраста, 14 - для проведения общественных работ, 4 </w:t>
      </w:r>
      <w:r w:rsidRPr="00841758">
        <w:rPr>
          <w:sz w:val="28"/>
          <w:szCs w:val="28"/>
        </w:rPr>
        <w:lastRenderedPageBreak/>
        <w:t>– для безработных граждан, испытывающих трудности в поиске работы, 1 - для граждан в возрасте от 18 до 20 лет,  имеющих среднее профессиональное образование и ищущих работу впервые,  3 выпускника образовательных организаций высшего образования  в возрасте до 25 лет прошли стажировку в муниципальных учреждениях города. Создано 3 дополнительных рабочих места, из них: 2  специальных рабочих места для инвалидов, трудоустроено 2 человека; 1 - рабочее место для незанятых многодетных родителей, трудоустроен 1 человек.</w:t>
      </w:r>
      <w:r w:rsidRPr="00841758">
        <w:rPr>
          <w:sz w:val="28"/>
          <w:szCs w:val="28"/>
        </w:rPr>
        <w:tab/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  <w:t xml:space="preserve">Уровень регистрируемой безработицы в 2019 году составил 0,1% (в 2018 году 0,19%), коэффициент напряженности – 0,28 человек на 1 вакантное рабочее место (в 2018 году – 0,45). Реализация мероприятий государственной программы, а также отсутствие риска масштабного сокращения работников предприятий позволит «удержать» уровень зарегистрированной безработицы к 2023 году на уровне 0,4% по базовому варианту. </w:t>
      </w:r>
      <w:r w:rsidRPr="00841758">
        <w:rPr>
          <w:sz w:val="28"/>
          <w:szCs w:val="28"/>
        </w:rPr>
        <w:tab/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jc w:val="center"/>
        <w:rPr>
          <w:sz w:val="28"/>
          <w:szCs w:val="28"/>
        </w:rPr>
      </w:pPr>
      <w:r w:rsidRPr="00841758">
        <w:rPr>
          <w:sz w:val="28"/>
          <w:szCs w:val="28"/>
        </w:rPr>
        <w:t>Демография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  <w:shd w:val="clear" w:color="auto" w:fill="FFFFFF"/>
        </w:rPr>
      </w:pPr>
      <w:r w:rsidRPr="00841758">
        <w:rPr>
          <w:sz w:val="28"/>
          <w:szCs w:val="28"/>
          <w:shd w:val="clear" w:color="auto" w:fill="FFFFFF"/>
        </w:rPr>
        <w:t>Формирование демографической ситуации города базируется на анализе состава половозрастной структуры населения, изменения естественного движения населения и миграционной ситуации. По оценке, в 2020 году среднегодовая численность населения составит 39,73 тыс. человек (100,1% к 2019 году). В связи с плавными колебаниями естественного прироста населения и оттоком миграции к 2023 году среднегодовая численность населения прогнозируется на уровне 40,08 тыс. человек (по базовому варианту).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Структурные изменения населения, обусловленные незначительным ростом числа женщин репродуктивного возраста, а также превышением числа родившихся над умершими, будут благоприятно влиять на коэффициент естественного прироста населения: в 2019 году – 7,2 на 1000 человек населения, к 2023 году составит 7,55 на 1000 человек населения (по базовому варианту). 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lastRenderedPageBreak/>
        <w:t xml:space="preserve">На показатель продолжительности жизни будут оказывать положительное влияние системы формирования основ здорового образа жизни, доступность квалифицированной медицинской помощи, меры по снижению злоупотребления </w:t>
      </w:r>
      <w:proofErr w:type="spellStart"/>
      <w:r w:rsidRPr="00841758">
        <w:rPr>
          <w:sz w:val="28"/>
          <w:szCs w:val="28"/>
        </w:rPr>
        <w:t>табакокурением</w:t>
      </w:r>
      <w:proofErr w:type="spellEnd"/>
      <w:r w:rsidRPr="00841758">
        <w:rPr>
          <w:sz w:val="28"/>
          <w:szCs w:val="28"/>
        </w:rPr>
        <w:t xml:space="preserve"> и алкоголизмом. В результате ожидаемая продолжительность жизни прогнозируется на отметке 76,51 лет к 2023 году (74,4 лет в 2019 году).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Миграционная обстановка города характерна интенсивностью миграционных потоков, в большей степени выбывших, в связи с отсутствием на территории города средних и высших учебных заведений выпускники школ города, окончившие 9 и 11 классы, поступают на очную форму обучения в учебные заведения, находящиеся в крупных, </w:t>
      </w:r>
      <w:proofErr w:type="spellStart"/>
      <w:r w:rsidRPr="00841758">
        <w:rPr>
          <w:sz w:val="28"/>
          <w:szCs w:val="28"/>
        </w:rPr>
        <w:t>инфраструктурно</w:t>
      </w:r>
      <w:proofErr w:type="spellEnd"/>
      <w:r w:rsidRPr="00841758">
        <w:rPr>
          <w:sz w:val="28"/>
          <w:szCs w:val="28"/>
        </w:rPr>
        <w:t xml:space="preserve"> обеспеченных городах Российской Федерации (Тюмень, Екатеринбург и др.) и в дальнейшем остаются на постоянное место жительства, также население старше трудоспособного возраста, завершившие трудовую деятельность,  выезжают на постоянное место жительства за пределы города и автономного округа в регионы с более благоприятными климатическими условиями.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В 2019 году зафиксирован коэффициент миграционной убыли (-)0,55 тысяч человек, в 2020 году оценивается (-) 0,43 тысяч человек. К 2023 году миграционный прирост (убыль) прогнозируется на (-) 0,06 тысяч человек (по базовому варианту).  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  <w:t xml:space="preserve">В прогнозируемом периоде 2021-2023 годов в целом демографическая обстановка города базируется на стабильном благоприятном социально-экономическом развитии города, без резких скачков и спадов.   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720"/>
        <w:jc w:val="center"/>
        <w:rPr>
          <w:sz w:val="28"/>
          <w:szCs w:val="28"/>
        </w:rPr>
      </w:pPr>
      <w:r w:rsidRPr="00841758">
        <w:rPr>
          <w:sz w:val="28"/>
          <w:szCs w:val="28"/>
        </w:rPr>
        <w:t>Бюджет муниципального образования</w:t>
      </w:r>
    </w:p>
    <w:p w:rsidR="00841758" w:rsidRPr="00841758" w:rsidRDefault="00841758" w:rsidP="00841758">
      <w:pPr>
        <w:spacing w:line="360" w:lineRule="auto"/>
        <w:ind w:firstLine="720"/>
        <w:jc w:val="center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 xml:space="preserve">Доходы бюджета муниципального образования на 2020 год утверждены решением Думы города от 19.12.2019 № 285 «О бюджете города Пыть-Яха на 2020 год и на плановый период 2021 и 2022 годов» в сумме 3 601,6 млн. рублей.  С учётом всех внесённых </w:t>
      </w:r>
      <w:r w:rsidRPr="00841758">
        <w:rPr>
          <w:sz w:val="28"/>
          <w:szCs w:val="28"/>
        </w:rPr>
        <w:t>изменений уточнённый объём доходов составил 4 259,8 млн</w:t>
      </w:r>
      <w:r w:rsidRPr="00841758">
        <w:rPr>
          <w:sz w:val="28"/>
          <w:szCs w:val="28"/>
          <w:lang w:eastAsia="en-US"/>
        </w:rPr>
        <w:t>. рублей. Прогнозные показатели на 2021- 2023 годы рассчитаны:</w:t>
      </w:r>
    </w:p>
    <w:p w:rsidR="00841758" w:rsidRPr="00841758" w:rsidRDefault="00841758" w:rsidP="00841758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lastRenderedPageBreak/>
        <w:t>- на 2021 год в сумме 3 431,9 млн. рублей (консервативный) и 3 398,0 млн. рублей (базовый)</w:t>
      </w:r>
    </w:p>
    <w:p w:rsidR="00841758" w:rsidRPr="00841758" w:rsidRDefault="00841758" w:rsidP="00841758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- на 2022 год в сумме 3 070,1 млн. рублей (консервативный) и 3 036,6 млн. рублей базовый;</w:t>
      </w:r>
    </w:p>
    <w:p w:rsidR="00841758" w:rsidRPr="00841758" w:rsidRDefault="00841758" w:rsidP="00841758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- на 2023 год в сумме 3 066,0 млн. рублей (консервативный) и 3 032,6 млн. базовый.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highlight w:val="yellow"/>
          <w:lang w:eastAsia="en-US"/>
        </w:rPr>
      </w:pPr>
      <w:r w:rsidRPr="00841758">
        <w:rPr>
          <w:bCs/>
          <w:sz w:val="28"/>
          <w:szCs w:val="28"/>
          <w:lang w:eastAsia="en-US"/>
        </w:rPr>
        <w:t>Налоговые доходы муниципального образования сформированы, главным образом, за счет отчислений от федеральных и региональных налогов и сборов, в том числе налогов, предусмотренных специальными налоговыми режимами.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В соответствии с федеральным законодательством запланировано поступление в бюджет города: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налога на доходы физических лиц – по нормативу 15%;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единого налога на вмененный доход для отдельных видов деятельности – по нормативу 90%;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единого сельскохозяйственного налога – по нормативу 90%;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государственной пошлины – по нормативу 90%;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налога, взимаемого в связи с применением патентной системы налогообложения – по нормативу 90%.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В соответствии с законом автономного округа от 10.11.2008 № 132-оз «О межбюджетных отношениях в Ханты-Мансийском автономном округе – Югре» спрогнозированы следующие налоговые доходы: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налог на доходы физических лиц – по нормативу 20,5%;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налог, взимаемый в связи с применением упрощенной системы налогообложения – по нормативу 90%;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акцизы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841758">
        <w:rPr>
          <w:bCs/>
          <w:sz w:val="28"/>
          <w:szCs w:val="28"/>
          <w:lang w:eastAsia="en-US"/>
        </w:rPr>
        <w:t>инжекторных</w:t>
      </w:r>
      <w:proofErr w:type="spellEnd"/>
      <w:r w:rsidRPr="00841758">
        <w:rPr>
          <w:bCs/>
          <w:sz w:val="28"/>
          <w:szCs w:val="28"/>
          <w:lang w:eastAsia="en-US"/>
        </w:rPr>
        <w:t>) двигателей, производимые на территории Российской Федерации – по нормативу 0,2000%.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 xml:space="preserve">Неналоговые доходы бюджета городского округа представлены доходами от использования имущества, находящегося в государственной и муниципальной </w:t>
      </w:r>
      <w:r w:rsidRPr="00841758">
        <w:rPr>
          <w:bCs/>
          <w:sz w:val="28"/>
          <w:szCs w:val="28"/>
          <w:lang w:eastAsia="en-US"/>
        </w:rPr>
        <w:lastRenderedPageBreak/>
        <w:t>собственности; платежами при пользовании природными ресурсами; доходами от продажи материальных и нематериальных активов; штрафами, санкциями, прочими неналоговыми доходами. При прогнозировании этих доходов за основу взяты данные администраторов доходов.</w:t>
      </w:r>
    </w:p>
    <w:p w:rsidR="00841758" w:rsidRPr="00841758" w:rsidRDefault="00841758" w:rsidP="00841758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 xml:space="preserve">Объем безвозмездных поступлений </w:t>
      </w:r>
      <w:r w:rsidRPr="00841758">
        <w:rPr>
          <w:sz w:val="28"/>
          <w:szCs w:val="28"/>
          <w:lang w:eastAsia="en-US"/>
        </w:rPr>
        <w:t>утвержден Решением Думы города от 19.12.2019 № 285 «О бюджете города Пыть-Яха на 2020 год и на плановый период 2021 и 2022 годов» в сумме 3 022,2 млн. рублей. С учётом всех внесённых изменений уточнённый объём доходов составил 3 044,4 млн. рублей. Прогнозные показатели на 2021- 2023 годы рассчитаны:</w:t>
      </w:r>
    </w:p>
    <w:p w:rsidR="00841758" w:rsidRPr="00841758" w:rsidRDefault="00841758" w:rsidP="00841758">
      <w:pPr>
        <w:spacing w:line="360" w:lineRule="auto"/>
        <w:ind w:left="-108" w:firstLine="82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- на 2021 год в сумме 2 267,1 млн. рублей (базовый и консервативный);</w:t>
      </w:r>
    </w:p>
    <w:p w:rsidR="00841758" w:rsidRPr="00841758" w:rsidRDefault="00841758" w:rsidP="00841758">
      <w:pPr>
        <w:spacing w:line="360" w:lineRule="auto"/>
        <w:ind w:left="-108" w:firstLine="82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- на 2022 год в сумме 1 919,7 млн. рублей (базовый и консервативный);</w:t>
      </w:r>
    </w:p>
    <w:p w:rsidR="00841758" w:rsidRPr="00841758" w:rsidRDefault="00841758" w:rsidP="00841758">
      <w:pPr>
        <w:spacing w:line="360" w:lineRule="auto"/>
        <w:ind w:left="-108" w:firstLine="82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- на 2023 год в сумме 1 919,7 млн. рублей (базовый и консервативный).</w:t>
      </w:r>
    </w:p>
    <w:p w:rsidR="00841758" w:rsidRPr="00841758" w:rsidRDefault="00841758" w:rsidP="00841758">
      <w:pPr>
        <w:spacing w:line="360" w:lineRule="auto"/>
        <w:ind w:left="-108" w:firstLine="82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Расходы бюджета муниципального образования на 2020 год утверждены решением Думы города от 19.12.2019 № 285 «О бюджете города Пыть-Яха на 2020 год и на плановый период 2021 и 2022 годов» в сумме 3 665,7 млн. рублей.  С учётом всех внесённых изменений уточнённый объём расходов составил 5 035,4 млн. рублей. Прогнозные показатели на 2021- 2023 годы рассчитаны:</w:t>
      </w:r>
    </w:p>
    <w:p w:rsidR="00841758" w:rsidRPr="00841758" w:rsidRDefault="00841758" w:rsidP="00841758">
      <w:pPr>
        <w:spacing w:line="360" w:lineRule="auto"/>
        <w:ind w:left="-108" w:firstLine="82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- на 2021 год в сумме 3 547,9 млн. рублей – консервативный вариант, 3 514,0 млн. руб. – базовый вариант;</w:t>
      </w:r>
    </w:p>
    <w:p w:rsidR="00841758" w:rsidRPr="00841758" w:rsidRDefault="00841758" w:rsidP="00841758">
      <w:pPr>
        <w:spacing w:line="360" w:lineRule="auto"/>
        <w:ind w:left="-108" w:firstLine="82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- на 2022 год в сумме 3 185,1 млн. рублей консервативный вариант, 3 151,6 млн. рублей – базовый вариант;</w:t>
      </w:r>
    </w:p>
    <w:p w:rsidR="00841758" w:rsidRPr="00841758" w:rsidRDefault="00841758" w:rsidP="00841758">
      <w:pPr>
        <w:spacing w:line="360" w:lineRule="auto"/>
        <w:ind w:left="-108" w:firstLine="82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- на 2023 год в сумме 3 180,0 млн. рублей – консервативный вариант, 3 146,6 – базовый вариант.</w:t>
      </w:r>
    </w:p>
    <w:p w:rsidR="00841758" w:rsidRPr="00841758" w:rsidRDefault="00841758" w:rsidP="0084175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Формирование расходных обязательств бюджета города на 2020 год и на плановый период 2021-2023 годов основано на подходах, при которых в качестве «базовых» по текущим расходам на 2020-2023 годы приняты утвержденные бюджетные ассигнования на 2020 год.</w:t>
      </w:r>
    </w:p>
    <w:p w:rsidR="00841758" w:rsidRPr="00841758" w:rsidRDefault="00841758" w:rsidP="00841758">
      <w:pPr>
        <w:autoSpaceDE w:val="0"/>
        <w:autoSpaceDN w:val="0"/>
        <w:adjustRightInd w:val="0"/>
        <w:spacing w:line="360" w:lineRule="auto"/>
        <w:ind w:firstLine="600"/>
        <w:jc w:val="both"/>
        <w:rPr>
          <w:sz w:val="28"/>
          <w:szCs w:val="28"/>
        </w:rPr>
      </w:pPr>
      <w:r w:rsidRPr="00841758">
        <w:rPr>
          <w:sz w:val="28"/>
          <w:szCs w:val="28"/>
          <w:lang w:eastAsia="en-US"/>
        </w:rPr>
        <w:t xml:space="preserve"> Кроме этого, на 2020-2021 годы включены расходы в соответствии с п</w:t>
      </w:r>
      <w:r w:rsidRPr="00841758">
        <w:rPr>
          <w:sz w:val="28"/>
          <w:szCs w:val="28"/>
        </w:rPr>
        <w:t xml:space="preserve">остановлением Правительства ХМАО - Югры от 30.11.2018 № 450-п «Об Адресной инвестиционной программе Ханты-Мансийского автономного округа </w:t>
      </w:r>
      <w:r w:rsidRPr="00841758">
        <w:rPr>
          <w:sz w:val="28"/>
          <w:szCs w:val="28"/>
        </w:rPr>
        <w:lastRenderedPageBreak/>
        <w:t>- Югры на 2019 год и на плановый период 2020 и 2021 годов», в том числе по следующим объектам:</w:t>
      </w:r>
    </w:p>
    <w:p w:rsidR="00841758" w:rsidRPr="00841758" w:rsidRDefault="00841758" w:rsidP="00841758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- Реконструкция ВОС-1 (2-я очередь) г. Пыть-Ях на 2020 год – 158,3 млн. рублей, на 2021 год – 34,5 </w:t>
      </w:r>
      <w:proofErr w:type="spellStart"/>
      <w:r w:rsidRPr="00841758">
        <w:rPr>
          <w:sz w:val="28"/>
          <w:szCs w:val="28"/>
        </w:rPr>
        <w:t>млн.рублей</w:t>
      </w:r>
      <w:proofErr w:type="spellEnd"/>
      <w:r w:rsidRPr="00841758">
        <w:rPr>
          <w:sz w:val="28"/>
          <w:szCs w:val="28"/>
        </w:rPr>
        <w:t>;</w:t>
      </w:r>
    </w:p>
    <w:p w:rsidR="00841758" w:rsidRPr="00841758" w:rsidRDefault="00841758" w:rsidP="0084175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</w:rPr>
        <w:t>- Реконструкция ВОС-3 г. Пыть-Ях на 2020 год – 203,8 млн. рублей, на 2021 год – 380,9 млн. рублей.</w:t>
      </w:r>
    </w:p>
    <w:p w:rsidR="00841758" w:rsidRPr="00841758" w:rsidRDefault="00841758" w:rsidP="00841758">
      <w:pPr>
        <w:spacing w:line="360" w:lineRule="auto"/>
        <w:ind w:left="-108" w:firstLine="82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Доля программных расходов в общей сумме расходов составила в 2019 году 99%, в 2020 -2023 годах доля программных расходов сохранится.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  <w:lang w:eastAsia="en-US"/>
        </w:rPr>
      </w:pPr>
    </w:p>
    <w:p w:rsidR="00841758" w:rsidRPr="00841758" w:rsidRDefault="00841758" w:rsidP="00841758">
      <w:pPr>
        <w:spacing w:line="360" w:lineRule="auto"/>
        <w:jc w:val="center"/>
        <w:rPr>
          <w:sz w:val="28"/>
          <w:szCs w:val="28"/>
        </w:rPr>
      </w:pPr>
      <w:r w:rsidRPr="00841758">
        <w:rPr>
          <w:sz w:val="28"/>
          <w:szCs w:val="28"/>
        </w:rPr>
        <w:t>Перечень основных проблемных вопросов развития муниципального образования, сдерживающих его социально-экономическое развитие</w:t>
      </w:r>
    </w:p>
    <w:p w:rsidR="00841758" w:rsidRPr="00841758" w:rsidRDefault="00841758" w:rsidP="00841758">
      <w:pPr>
        <w:spacing w:line="360" w:lineRule="auto"/>
        <w:ind w:firstLine="697"/>
        <w:jc w:val="both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697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Основными проблемными вопросами развития города, влияющими на его социально-экономическое развитие, являются: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- в жилищной сфере – обеспечение инженерными сетями и подъездными путями площадок, выделенных под МКД и ИЖС, в том числе льготным категориям населения; снос ветхого, аварийного жилья и балочных массивов;</w:t>
      </w:r>
    </w:p>
    <w:p w:rsidR="00841758" w:rsidRPr="00841758" w:rsidRDefault="00841758" w:rsidP="00841758">
      <w:pPr>
        <w:snapToGrid w:val="0"/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- в социальной сфере – отсутствие образовательных организаций среднего профессионального образования, организация односменного режима обучения в общеобразовательных учреждениях города;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- в транспортной системе – завершение строительства автомобильной дороги от ул. Православная до Больничного комплекса с </w:t>
      </w:r>
      <w:proofErr w:type="spellStart"/>
      <w:r w:rsidRPr="00841758">
        <w:rPr>
          <w:sz w:val="28"/>
          <w:szCs w:val="28"/>
        </w:rPr>
        <w:t>закольцовкой</w:t>
      </w:r>
      <w:proofErr w:type="spellEnd"/>
      <w:r w:rsidRPr="00841758">
        <w:rPr>
          <w:sz w:val="28"/>
          <w:szCs w:val="28"/>
        </w:rPr>
        <w:t xml:space="preserve"> в пос. Горка;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- в жилищно-коммунальном комплексе – ветхость инженерных сетей; образование несанкционированных свалок; обеспечение жителей города чистой питьевой водой; отсутствие в городе ливневой канализации.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В целях решения вышеуказанных ограничений и проблем социально-экономического развития города реализуются комплексы мероприятий и мер, направленных на точное и скоординированное решение, в том числе по приоритетным направлениям, с акцентированием по узконаправленным вопросам.  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lastRenderedPageBreak/>
        <w:t xml:space="preserve">Прогноз социально-экономического развития города Пыть-Яха на 2021-2023 годы направлен на повышение уровня и качества жизни населения города путем гарантирования стандартов жизнедеятельности с учетом целей, поставленных Президентом Российской Федерации (Указ Президента Российской Федерации от 21.07.2020 № 474 «О национальных целях развития Российской Федерации на период до 2030 года»).  </w:t>
      </w:r>
    </w:p>
    <w:p w:rsidR="00216681" w:rsidRDefault="00216681" w:rsidP="00841758">
      <w:pPr>
        <w:spacing w:line="360" w:lineRule="auto"/>
        <w:jc w:val="both"/>
        <w:rPr>
          <w:sz w:val="28"/>
          <w:szCs w:val="28"/>
        </w:rPr>
      </w:pPr>
    </w:p>
    <w:p w:rsidR="005A6EBC" w:rsidRPr="00216681" w:rsidRDefault="005A6EBC" w:rsidP="00216681">
      <w:pPr>
        <w:spacing w:line="360" w:lineRule="auto"/>
        <w:ind w:firstLine="720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 </w:t>
      </w:r>
    </w:p>
    <w:p w:rsidR="00152F85" w:rsidRPr="00884FF2" w:rsidRDefault="00152F85" w:rsidP="00003EA8">
      <w:pPr>
        <w:pStyle w:val="a5"/>
        <w:rPr>
          <w:sz w:val="28"/>
          <w:szCs w:val="28"/>
        </w:rPr>
        <w:sectPr w:rsidR="00152F85" w:rsidRPr="00884FF2" w:rsidSect="001659BD">
          <w:headerReference w:type="even" r:id="rId8"/>
          <w:headerReference w:type="default" r:id="rId9"/>
          <w:headerReference w:type="first" r:id="rId10"/>
          <w:pgSz w:w="11906" w:h="16838" w:code="9"/>
          <w:pgMar w:top="1134" w:right="567" w:bottom="1134" w:left="1701" w:header="709" w:footer="709" w:gutter="0"/>
          <w:pgNumType w:start="339"/>
          <w:cols w:space="708"/>
          <w:titlePg/>
          <w:docGrid w:linePitch="360"/>
        </w:sectPr>
      </w:pPr>
    </w:p>
    <w:p w:rsidR="00AB1AA0" w:rsidRPr="00884FF2" w:rsidRDefault="00AB1AA0" w:rsidP="00AB1AA0">
      <w:pPr>
        <w:jc w:val="right"/>
        <w:rPr>
          <w:bCs/>
          <w:sz w:val="28"/>
          <w:szCs w:val="28"/>
        </w:rPr>
      </w:pPr>
      <w:r w:rsidRPr="00884FF2">
        <w:rPr>
          <w:bCs/>
        </w:rPr>
        <w:lastRenderedPageBreak/>
        <w:t xml:space="preserve">                                                                                                                                                                               </w:t>
      </w:r>
      <w:r w:rsidRPr="00884FF2">
        <w:rPr>
          <w:bCs/>
          <w:sz w:val="28"/>
          <w:szCs w:val="28"/>
        </w:rPr>
        <w:t>Приложение</w:t>
      </w:r>
      <w:r w:rsidR="00A92EDF">
        <w:rPr>
          <w:bCs/>
          <w:sz w:val="28"/>
          <w:szCs w:val="28"/>
        </w:rPr>
        <w:t xml:space="preserve"> №2</w:t>
      </w:r>
    </w:p>
    <w:p w:rsidR="00AB1AA0" w:rsidRPr="00884FF2" w:rsidRDefault="00AB1AA0" w:rsidP="00AB1AA0">
      <w:pPr>
        <w:jc w:val="right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к распоряжению администрации</w:t>
      </w:r>
    </w:p>
    <w:p w:rsidR="00AB1AA0" w:rsidRPr="00884FF2" w:rsidRDefault="00AB1AA0" w:rsidP="00AB1AA0">
      <w:pPr>
        <w:tabs>
          <w:tab w:val="left" w:pos="11160"/>
        </w:tabs>
        <w:jc w:val="right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 xml:space="preserve">  города Пыть-Яха</w:t>
      </w:r>
    </w:p>
    <w:p w:rsidR="009B631E" w:rsidRDefault="0027156E" w:rsidP="009B631E">
      <w:pPr>
        <w:pStyle w:val="a5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B631E">
        <w:rPr>
          <w:sz w:val="28"/>
          <w:szCs w:val="28"/>
        </w:rPr>
        <w:t>от 19.08.2020 № 1484-ра</w:t>
      </w:r>
    </w:p>
    <w:p w:rsidR="00AB1AA0" w:rsidRPr="00884FF2" w:rsidRDefault="00AB1AA0" w:rsidP="00AB1AA0">
      <w:pPr>
        <w:jc w:val="center"/>
        <w:rPr>
          <w:b/>
        </w:rPr>
      </w:pPr>
    </w:p>
    <w:p w:rsidR="00AB1AA0" w:rsidRPr="00884FF2" w:rsidRDefault="00AB1AA0" w:rsidP="00AB1AA0">
      <w:pPr>
        <w:jc w:val="center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>Основные показатели прогноза социально-экономического развития</w:t>
      </w:r>
    </w:p>
    <w:p w:rsidR="00AB1AA0" w:rsidRDefault="00AB1AA0" w:rsidP="00AB1AA0">
      <w:pPr>
        <w:jc w:val="center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>муниципального образования городской округ город Пыть-Ях на 20</w:t>
      </w:r>
      <w:r w:rsidR="00AA4294">
        <w:rPr>
          <w:bCs/>
          <w:sz w:val="28"/>
          <w:szCs w:val="28"/>
        </w:rPr>
        <w:t>2</w:t>
      </w:r>
      <w:r w:rsidR="00505144">
        <w:rPr>
          <w:bCs/>
          <w:sz w:val="28"/>
          <w:szCs w:val="28"/>
        </w:rPr>
        <w:t>1</w:t>
      </w:r>
      <w:r w:rsidR="00CA1BDE" w:rsidRPr="00884FF2">
        <w:rPr>
          <w:bCs/>
          <w:sz w:val="28"/>
          <w:szCs w:val="28"/>
        </w:rPr>
        <w:t xml:space="preserve"> год и на плановый период </w:t>
      </w:r>
      <w:r w:rsidR="00505144">
        <w:rPr>
          <w:bCs/>
          <w:sz w:val="28"/>
          <w:szCs w:val="28"/>
        </w:rPr>
        <w:t>2022 и 2023</w:t>
      </w:r>
      <w:r w:rsidR="00CA1BDE" w:rsidRPr="00884FF2">
        <w:rPr>
          <w:bCs/>
          <w:sz w:val="28"/>
          <w:szCs w:val="28"/>
        </w:rPr>
        <w:t xml:space="preserve"> г</w:t>
      </w:r>
      <w:r w:rsidR="00505144">
        <w:rPr>
          <w:bCs/>
          <w:sz w:val="28"/>
          <w:szCs w:val="28"/>
        </w:rPr>
        <w:t>одов</w:t>
      </w:r>
    </w:p>
    <w:tbl>
      <w:tblPr>
        <w:tblW w:w="15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31"/>
        <w:gridCol w:w="1120"/>
        <w:gridCol w:w="1056"/>
        <w:gridCol w:w="1056"/>
        <w:gridCol w:w="1290"/>
        <w:gridCol w:w="1234"/>
        <w:gridCol w:w="1063"/>
        <w:gridCol w:w="1205"/>
        <w:gridCol w:w="1063"/>
        <w:gridCol w:w="1205"/>
        <w:gridCol w:w="1063"/>
      </w:tblGrid>
      <w:tr w:rsidR="00AB6398" w:rsidRPr="009824D4" w:rsidTr="004250DD">
        <w:trPr>
          <w:cantSplit/>
          <w:trHeight w:val="20"/>
          <w:tblHeader/>
        </w:trPr>
        <w:tc>
          <w:tcPr>
            <w:tcW w:w="817" w:type="dxa"/>
            <w:vMerge w:val="restart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431" w:type="dxa"/>
            <w:vMerge w:val="restart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 </w:t>
            </w:r>
          </w:p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Показатели</w:t>
            </w:r>
          </w:p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 </w:t>
            </w:r>
          </w:p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 </w:t>
            </w:r>
          </w:p>
        </w:tc>
        <w:tc>
          <w:tcPr>
            <w:tcW w:w="1120" w:type="dxa"/>
            <w:vMerge w:val="restart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 </w:t>
            </w:r>
          </w:p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Единица измерения</w:t>
            </w:r>
          </w:p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 </w:t>
            </w:r>
          </w:p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 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отчет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отчет</w:t>
            </w:r>
          </w:p>
        </w:tc>
        <w:tc>
          <w:tcPr>
            <w:tcW w:w="129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оценка показателя</w:t>
            </w:r>
          </w:p>
        </w:tc>
        <w:tc>
          <w:tcPr>
            <w:tcW w:w="6833" w:type="dxa"/>
            <w:gridSpan w:val="6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прогноз</w:t>
            </w:r>
          </w:p>
        </w:tc>
      </w:tr>
      <w:tr w:rsidR="00AB6398" w:rsidRPr="009824D4" w:rsidTr="004250DD">
        <w:trPr>
          <w:cantSplit/>
          <w:trHeight w:val="20"/>
          <w:tblHeader/>
        </w:trPr>
        <w:tc>
          <w:tcPr>
            <w:tcW w:w="817" w:type="dxa"/>
            <w:vMerge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31" w:type="dxa"/>
            <w:vMerge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</w:p>
        </w:tc>
        <w:tc>
          <w:tcPr>
            <w:tcW w:w="1120" w:type="dxa"/>
            <w:vMerge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</w:p>
        </w:tc>
        <w:tc>
          <w:tcPr>
            <w:tcW w:w="1056" w:type="dxa"/>
            <w:vMerge w:val="restart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2018</w:t>
            </w:r>
          </w:p>
        </w:tc>
        <w:tc>
          <w:tcPr>
            <w:tcW w:w="1056" w:type="dxa"/>
            <w:vMerge w:val="restart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2019</w:t>
            </w:r>
          </w:p>
        </w:tc>
        <w:tc>
          <w:tcPr>
            <w:tcW w:w="1290" w:type="dxa"/>
            <w:vMerge w:val="restart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2020</w:t>
            </w:r>
          </w:p>
        </w:tc>
        <w:tc>
          <w:tcPr>
            <w:tcW w:w="2297" w:type="dxa"/>
            <w:gridSpan w:val="2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2021</w:t>
            </w:r>
          </w:p>
        </w:tc>
        <w:tc>
          <w:tcPr>
            <w:tcW w:w="2268" w:type="dxa"/>
            <w:gridSpan w:val="2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2022</w:t>
            </w:r>
          </w:p>
        </w:tc>
        <w:tc>
          <w:tcPr>
            <w:tcW w:w="2268" w:type="dxa"/>
            <w:gridSpan w:val="2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2023</w:t>
            </w:r>
          </w:p>
        </w:tc>
      </w:tr>
      <w:tr w:rsidR="003B0779" w:rsidRPr="009824D4" w:rsidTr="004250DD">
        <w:trPr>
          <w:cantSplit/>
          <w:trHeight w:val="20"/>
          <w:tblHeader/>
        </w:trPr>
        <w:tc>
          <w:tcPr>
            <w:tcW w:w="817" w:type="dxa"/>
            <w:vMerge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31" w:type="dxa"/>
            <w:vMerge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</w:p>
        </w:tc>
        <w:tc>
          <w:tcPr>
            <w:tcW w:w="1120" w:type="dxa"/>
            <w:vMerge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</w:p>
        </w:tc>
        <w:tc>
          <w:tcPr>
            <w:tcW w:w="1056" w:type="dxa"/>
            <w:vMerge/>
            <w:shd w:val="clear" w:color="auto" w:fill="auto"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</w:p>
        </w:tc>
        <w:tc>
          <w:tcPr>
            <w:tcW w:w="1056" w:type="dxa"/>
            <w:vMerge/>
            <w:shd w:val="clear" w:color="auto" w:fill="auto"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</w:p>
        </w:tc>
        <w:tc>
          <w:tcPr>
            <w:tcW w:w="1290" w:type="dxa"/>
            <w:vMerge/>
            <w:shd w:val="clear" w:color="auto" w:fill="auto"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</w:p>
        </w:tc>
        <w:tc>
          <w:tcPr>
            <w:tcW w:w="1234" w:type="dxa"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консервативный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базовый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консервативный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базовый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консервативный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базовый</w:t>
            </w:r>
          </w:p>
        </w:tc>
      </w:tr>
      <w:tr w:rsidR="003B0779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786" w:type="dxa"/>
            <w:gridSpan w:val="11"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>Население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населения (в среднегодовом исчислении)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40,06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39,70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39,73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39,86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39,92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39,88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40,08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населения (на 1 января года)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40,29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39,83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39,57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39,83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39,89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39,83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39,95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39,87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40,05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1.3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населения трудоспособного возраста</w:t>
            </w:r>
            <w:r w:rsidRPr="009824D4">
              <w:rPr>
                <w:bCs/>
              </w:rPr>
              <w:br/>
              <w:t>(на 1 января года)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24,80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24,06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23,90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24,06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24,09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24,06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24,13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24,15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24,19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1.4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населения старше трудоспособного возраста</w:t>
            </w:r>
            <w:r w:rsidRPr="009824D4">
              <w:rPr>
                <w:bCs/>
              </w:rPr>
              <w:br/>
              <w:t>(на 1 января года)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5,79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6,21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6,17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6,21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6,22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6,21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6,37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6,38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6,39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1.5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Ожидаемая продолжительность жизни при рождении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число лет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74,30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74,40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74,49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74,53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75,21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74,84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75,94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75,09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76,51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1.6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Общий коэффициент рождаемости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число родившихся живыми на 1000 человек населения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14,10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11,71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12,51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11,35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12,18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11,08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12,06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1.7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Суммарный коэффициент рождаемости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число детей на 1 женщину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1,94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1,96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2,01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2,04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2,06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1.8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Общий коэффициент смертности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число умерших на 1000 человек населения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5,70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5,80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5,81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6,02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5,82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6,04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5,77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6,07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5,74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1.9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Коэффициент естественного прироста населения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на 1000 человек населения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8,40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7,20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7,21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7,22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7,47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7,16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7,13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7,55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1.10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Миграционный прирост (убыль)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-0,80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-0,55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-0,43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-0,69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-0,08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-0,60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-0,07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-0,40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-0,06</w:t>
            </w:r>
          </w:p>
        </w:tc>
      </w:tr>
      <w:tr w:rsidR="00ED68C7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4786" w:type="dxa"/>
            <w:gridSpan w:val="11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>Промышленное производство</w:t>
            </w:r>
            <w:r w:rsidRPr="009824D4">
              <w:rPr>
                <w:bCs/>
                <w:sz w:val="20"/>
                <w:szCs w:val="20"/>
              </w:rPr>
              <w:t> </w:t>
            </w:r>
          </w:p>
        </w:tc>
      </w:tr>
      <w:tr w:rsidR="00ED68C7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3.1</w:t>
            </w:r>
          </w:p>
        </w:tc>
        <w:tc>
          <w:tcPr>
            <w:tcW w:w="3431" w:type="dxa"/>
            <w:shd w:val="clear" w:color="auto" w:fill="auto"/>
            <w:hideMark/>
          </w:tcPr>
          <w:p w:rsidR="00ED68C7" w:rsidRPr="009824D4" w:rsidRDefault="00ED68C7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68C7" w:rsidRPr="009824D4" w:rsidRDefault="00ED68C7" w:rsidP="00ED68C7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24 385,80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68C7" w:rsidRPr="009824D4" w:rsidRDefault="00ED68C7" w:rsidP="00ED68C7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21 029,77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19 729,07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20 464,02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21 242,41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21 383,19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22 131,30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22 433,22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23 076,03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промышленного производства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106,72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83,81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92,16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98,69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99,42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99,54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99,97</w:t>
            </w:r>
          </w:p>
        </w:tc>
      </w:tr>
      <w:tr w:rsidR="000F674A" w:rsidRPr="009824D4" w:rsidTr="004250DD">
        <w:trPr>
          <w:cantSplit/>
          <w:trHeight w:val="20"/>
        </w:trPr>
        <w:tc>
          <w:tcPr>
            <w:tcW w:w="15603" w:type="dxa"/>
            <w:gridSpan w:val="12"/>
            <w:shd w:val="clear" w:color="auto" w:fill="auto"/>
            <w:noWrap/>
            <w:hideMark/>
          </w:tcPr>
          <w:p w:rsidR="000F674A" w:rsidRPr="009824D4" w:rsidRDefault="000F674A" w:rsidP="009824D4">
            <w:pPr>
              <w:jc w:val="center"/>
              <w:rPr>
                <w:bCs/>
                <w:iCs/>
                <w:sz w:val="20"/>
                <w:szCs w:val="20"/>
              </w:rPr>
            </w:pPr>
            <w:r w:rsidRPr="009824D4">
              <w:rPr>
                <w:bCs/>
                <w:iCs/>
                <w:sz w:val="20"/>
                <w:szCs w:val="20"/>
              </w:rPr>
              <w:t>Индексы производства по видам экономической деятельности</w:t>
            </w:r>
            <w:r w:rsidRPr="009824D4">
              <w:rPr>
                <w:bCs/>
                <w:sz w:val="20"/>
                <w:szCs w:val="20"/>
              </w:rPr>
              <w:t> 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Добыча полезных ископаемых (раздел B)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98,19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77,66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96,60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101,47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97,85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99,52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99,81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3.8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Предоставление услуг в области добычи полезных ископаемых (09)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98,19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77,88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97,70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102,59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99,02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99,62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99,81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3.9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Обрабатывающие производства (раздел C)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86,87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100,77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97,75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99,43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98,40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3.20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Производство химических веществ и химических продуктов (20)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103,26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93,39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101,01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99,13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100,29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100,29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3.32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Производство прочих готовых изделий (32)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91,40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96,78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100,20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96,21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95,76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95,55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97,02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96,12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97,32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3.33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Ремонт и монтаж машин и оборудования (33)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93,33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100,38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3.34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 xml:space="preserve">Обеспечение электрической энергией, газом и </w:t>
            </w:r>
            <w:r w:rsidR="009E1013" w:rsidRPr="009824D4">
              <w:rPr>
                <w:bCs/>
                <w:iCs/>
              </w:rPr>
              <w:t>паром; кондиционирование</w:t>
            </w:r>
            <w:r w:rsidRPr="009824D4">
              <w:rPr>
                <w:bCs/>
                <w:iCs/>
              </w:rPr>
              <w:t xml:space="preserve"> воздуха (раздел D)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106,09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93,24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99,81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3.35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Водоснабжение; водоотведение, организация сбора и утилизации отходов, деятельность по ликвидации загрязнений (раздел E)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 w:type="page"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104,45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213,52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100,96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3.36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Потребление электроэнергии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 xml:space="preserve">млн </w:t>
            </w:r>
            <w:proofErr w:type="spellStart"/>
            <w:r w:rsidRPr="009824D4">
              <w:rPr>
                <w:bCs/>
                <w:sz w:val="20"/>
                <w:szCs w:val="20"/>
              </w:rPr>
              <w:t>кВт.ч</w:t>
            </w:r>
            <w:proofErr w:type="spellEnd"/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155,56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149,50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148,58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148,58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148,58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148,58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148,58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148,58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148,58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3.37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Средние тарифы на электроэнергию, отпущенную различным категориям потребителей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руб./</w:t>
            </w:r>
            <w:proofErr w:type="spellStart"/>
            <w:r w:rsidRPr="009824D4">
              <w:rPr>
                <w:bCs/>
                <w:sz w:val="20"/>
                <w:szCs w:val="20"/>
              </w:rPr>
              <w:t>тыс.кВт.ч</w:t>
            </w:r>
            <w:proofErr w:type="spellEnd"/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1 688,69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1 697,41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1 736,04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1 788,12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1 788,12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1 841,76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1 841,76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1 897,02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1 897,02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3.38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тарифов на электроэнергию, отпущенную различным категориям потребителей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за период с начала года</w:t>
            </w:r>
            <w:r w:rsidRPr="009824D4">
              <w:rPr>
                <w:bCs/>
                <w:sz w:val="20"/>
                <w:szCs w:val="20"/>
              </w:rPr>
              <w:br/>
              <w:t>к соотв. периоду</w:t>
            </w:r>
            <w:r w:rsidRPr="009824D4">
              <w:rPr>
                <w:bCs/>
                <w:sz w:val="20"/>
                <w:szCs w:val="20"/>
              </w:rPr>
              <w:br/>
              <w:t>предыдущего года, %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102,97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103,15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103,05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103,10</w:t>
            </w:r>
          </w:p>
        </w:tc>
      </w:tr>
      <w:tr w:rsidR="009E1013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14786" w:type="dxa"/>
            <w:gridSpan w:val="11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 xml:space="preserve">Сельское хозяйство </w:t>
            </w:r>
            <w:r w:rsidRPr="009824D4">
              <w:rPr>
                <w:bCs/>
                <w:sz w:val="20"/>
                <w:szCs w:val="20"/>
              </w:rPr>
              <w:t> 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Продукция сельского хозяйства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223,83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238,23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247,11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256,64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256,29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266,69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265,95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277,66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277,05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4.2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производства продукции сельского хозяйства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98,12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101,46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101,99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99,77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99,82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100,07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4.3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Продукция растениеводства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125,62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135,80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141,09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146,59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146,45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152,46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152,16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158,86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158,71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4.4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производства продукции растениеводства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142,16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103,05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102,16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99,81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4.5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Продукция животноводства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98,21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102,43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106,02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110,05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109,83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114,23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113,79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118,80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118,34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4.6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производства продукции животноводства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70,28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99,43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101,77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99,71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99,71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99,81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99,81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99,90</w:t>
            </w:r>
          </w:p>
        </w:tc>
      </w:tr>
      <w:tr w:rsidR="009E1013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4786" w:type="dxa"/>
            <w:gridSpan w:val="11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>Строительство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5.1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Объем работ, выполненных по виду деятельности "Строительство"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в ценах соответствующих лет; 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1 354,80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1 446,90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1 517,80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1 592,17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1 589,13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1 671,78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1 667,00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1 757,04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1 750,35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5.2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физического объема работ, выполненных по виду деятельности "Строительство"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64,58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99,53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100,48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100,48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100,48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100,48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100,48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100,48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100,48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5.3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Индекс-дефлятор по виду деятельности "Строительство"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67,88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106,80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104,90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5.4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Ввод в действие жилых домов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кв. м общей площади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12,12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42,48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27,40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27,40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30,60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30,60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33,10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33,10</w:t>
            </w:r>
          </w:p>
        </w:tc>
      </w:tr>
      <w:tr w:rsidR="009E1013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4786" w:type="dxa"/>
            <w:gridSpan w:val="11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>Торговля и услуги населению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6.1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потребительских цен на товары и услуги, на конец года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декабрю</w:t>
            </w:r>
            <w:r w:rsidRPr="009824D4">
              <w:rPr>
                <w:bCs/>
                <w:sz w:val="20"/>
                <w:szCs w:val="20"/>
              </w:rPr>
              <w:br/>
              <w:t>предыдущего года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103,50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6.2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потребительских цен на товары и услуги, в среднем за год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102,90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104,50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103,20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103,60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6.3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Оборот розничной торговли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2 938,06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3 212,46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3 321,69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3 441,27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3 447,91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3 575,48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3 582,38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3 718,50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3 725,67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6.4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физического объема оборота розничной торговли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145,94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104,73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6.5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Индекс-дефлятор оборота розничной торговли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109,30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104,50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103,40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103,80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6.6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Объем платных услуг населению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407,37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423,26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437,65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453,84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454,28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472,90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473,36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492,76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493,24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6.7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физического объема платных услуг населению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99,33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100,29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6.8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Индекс-дефлятор объема платных услуг населению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103,90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103,40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103,80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104,20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104,20</w:t>
            </w:r>
          </w:p>
        </w:tc>
      </w:tr>
      <w:tr w:rsidR="009E1013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4786" w:type="dxa"/>
            <w:gridSpan w:val="11"/>
            <w:shd w:val="clear" w:color="auto" w:fill="auto"/>
            <w:hideMark/>
          </w:tcPr>
          <w:p w:rsidR="009E1013" w:rsidRPr="009824D4" w:rsidRDefault="009E1013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 xml:space="preserve">Малое и среднее предпринимательство, включая </w:t>
            </w:r>
            <w:proofErr w:type="spellStart"/>
            <w:r w:rsidRPr="009824D4">
              <w:rPr>
                <w:b/>
                <w:bCs/>
              </w:rPr>
              <w:t>микропредприятия</w:t>
            </w:r>
            <w:proofErr w:type="spellEnd"/>
            <w:r w:rsidRPr="009824D4">
              <w:rPr>
                <w:bCs/>
                <w:sz w:val="20"/>
                <w:szCs w:val="20"/>
              </w:rPr>
              <w:t> 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8.1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 xml:space="preserve">Количество малых и средних предприятий, включая </w:t>
            </w:r>
            <w:proofErr w:type="spellStart"/>
            <w:r w:rsidRPr="009824D4">
              <w:rPr>
                <w:bCs/>
              </w:rPr>
              <w:t>микропредприятия</w:t>
            </w:r>
            <w:proofErr w:type="spellEnd"/>
            <w:r w:rsidRPr="009824D4">
              <w:rPr>
                <w:bCs/>
              </w:rPr>
              <w:t xml:space="preserve"> (на конец года)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единиц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1 435,00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1 426,00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1 440,00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1 433,44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1 445,00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1 478,08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1 490,00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1 478,08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1 490,00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8.2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 xml:space="preserve">Среднесписочная численность работников на предприятиях малого и среднего предпринимательства (включая </w:t>
            </w:r>
            <w:proofErr w:type="spellStart"/>
            <w:r w:rsidRPr="009824D4">
              <w:rPr>
                <w:bCs/>
              </w:rPr>
              <w:t>микропредприятия</w:t>
            </w:r>
            <w:proofErr w:type="spellEnd"/>
            <w:r w:rsidRPr="009824D4">
              <w:rPr>
                <w:bCs/>
              </w:rPr>
              <w:t>) (без внешних совместителей)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3,07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3,05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3,08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3,06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3,09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3,16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3,18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3,16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3,18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8.3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 xml:space="preserve">Оборот малых и средних предприятий, включая </w:t>
            </w:r>
            <w:proofErr w:type="spellStart"/>
            <w:r w:rsidRPr="009824D4">
              <w:rPr>
                <w:bCs/>
              </w:rPr>
              <w:t>микропредприятия</w:t>
            </w:r>
            <w:proofErr w:type="spellEnd"/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млрд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5,30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5,30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5,26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5,30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5,26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5,30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5,26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5,30</w:t>
            </w:r>
          </w:p>
        </w:tc>
      </w:tr>
      <w:tr w:rsidR="009E1013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14786" w:type="dxa"/>
            <w:gridSpan w:val="11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>Инвестиции</w:t>
            </w:r>
            <w:r w:rsidRPr="009824D4">
              <w:rPr>
                <w:bCs/>
                <w:sz w:val="20"/>
                <w:szCs w:val="20"/>
              </w:rPr>
              <w:t> 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Инвестиции в основной капитал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5 108,68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2 056,61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1 842,72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1 912,74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1 944,07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1 991,17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2 052,94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2 078,78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2 169,96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физического объема инвестиций в основной капитал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112,37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39,58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86,82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100,29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101,83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101,54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100,38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101,63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Индекс-дефлятор инвестиций в основной капитал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118,30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85,29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105,60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105,20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104,80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104,80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9.4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Удельный вес инвестиций в основной капитал в валовом региональном продукте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х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Инвестиции в основной капитал по источникам</w:t>
            </w:r>
            <w:r w:rsidRPr="009824D4">
              <w:rPr>
                <w:bCs/>
                <w:iCs/>
              </w:rPr>
              <w:br/>
              <w:t>финансирования (без субъектов малого и среднего предпринимательства и объема инвестиций, не наблюдаемых прямыми статистическими методами)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4 805,39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1 713,84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1 535,60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1 593,95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1 620,06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1 659,31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1 710,78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1 732,32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1 808,30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9.5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Собственные средства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4 774,32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1 597,14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1 151,31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1 088,29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1 031,68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1 302,64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1 282,45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1 514,65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1 543,96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9.6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Привлеченные средства, из них: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31,07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116,70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384,29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505,67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588,38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356,67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428,33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217,67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264,33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9.6.1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кредиты банков, в том числе: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9.6.1.1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кредиты иностранных банков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9.6.2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заемные средства других организаций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9.6.3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бюджетные средства, в том числе: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29,77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115,40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379,29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501,67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584,38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351,67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423,33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211,67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258,33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9.6.3.1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федеральный бюджет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28,48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6,21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5,94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6,75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6,48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7,56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7,02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8,64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9.6.3.2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бюджеты субъектов Российской Федерации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68,43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341,36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327,30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342,49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49,60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53,12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50,57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57,43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9.6.3.3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из местных бюджетов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24,97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18,49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31,72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168,43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235,14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295,59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362,66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154,08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192,27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9.6.4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прочие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1,30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6,00</w:t>
            </w:r>
          </w:p>
        </w:tc>
      </w:tr>
      <w:tr w:rsidR="009E1013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4786" w:type="dxa"/>
            <w:gridSpan w:val="11"/>
            <w:shd w:val="clear" w:color="auto" w:fill="auto"/>
            <w:hideMark/>
          </w:tcPr>
          <w:p w:rsidR="009E1013" w:rsidRPr="009824D4" w:rsidRDefault="009E1013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>Консолидированный бюджет субъекта Российской Федерации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10.1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Доходы консолидированного бюджета субъекта</w:t>
            </w:r>
            <w:r w:rsidRPr="009824D4">
              <w:rPr>
                <w:bCs/>
                <w:iCs/>
              </w:rPr>
              <w:br/>
              <w:t>Российской Федерации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5 342,40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2 996,40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4 259,80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3 431,93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3 398,00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3 070,11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3 036,60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3 065,99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3 032,60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Налоговые и неналоговые доходы, всего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1 285,30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1 306,40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1 215,40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1 164,83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1 130,90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1 150,41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1 116,90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1 146,29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1 112,90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Налоговые доходы консолидированного бюджета субъекта Российской Федерации всего, в том числе: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843,00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1 003,50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996,80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942,76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915,30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925,35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898,40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935,55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908,30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налог на прибыль организаций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налог на доходы физических лиц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604,10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754,20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756,60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932,92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790,70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928,60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786,50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938,38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796,00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налог на добычу полезных ископаемых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10.3.4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акцизы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10,70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12,30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11,50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14,01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13,60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14,73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14,30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15,04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14,60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10.3.5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121,20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118,80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108,50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123,60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123,60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123,60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10.3.6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налог на имущество физических лиц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13,40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25,20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16,80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17,41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17,41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17,41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16,90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10.3.7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налог на имущество организаций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10.3.8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налог на игорный бизнес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10.3.9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транспортный налог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16,20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18,64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18,64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18,64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18,10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10.3.10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земельный налог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53,30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55,00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53,00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54,38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52,80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54,38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52,80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54,38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52,80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10.4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Неналоговые доходы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442,30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302,90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218,60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222,07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215,60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225,06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218,50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210,74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204,60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10.5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Безвозмездные поступления всего, в том числе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4 057,10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1 690,00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3 044,40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2 267,10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2 267,10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1 919,70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1 919,70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1 919,70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1 919,70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10.5.1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субсидии из федерального бюджета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2 758,80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14,20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70,30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14,20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14,20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14,20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10.5.2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субвенции из федерального бюджета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13 869,80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25,90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14,60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25,90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10.5.3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дотации из федерального бюджета, в том числе: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512,40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10.5.4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дотации на выравнивание бюджетной обеспеченности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Расходы консолидированного бюджета субъекта</w:t>
            </w:r>
            <w:r w:rsidRPr="009824D4">
              <w:rPr>
                <w:bCs/>
                <w:iCs/>
              </w:rPr>
              <w:br/>
              <w:t>Российской Федерации всего, в том числе по направлениям: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3 963,60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4 047,60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5 035,40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3 547,90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3 514,00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3 185,10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3 151,60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3 180,00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3 146,60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общегосударственные вопросы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451,30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496,00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464,50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460,70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460,70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536,80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536,80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508,60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508,60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национальная оборона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5,70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6,20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5,30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5,30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5,30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5,50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10.6.3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40,30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37,40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31,20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32,50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32,50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33,70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33,70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33,70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33,70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10.6.4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национальная экономика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216,50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294,30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302,90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229,70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229,70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228,00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228,00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228,00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228,00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10.6.5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жилищно-коммунальное хозяйство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1 263,40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840,50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1 098,50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631,70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631,70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224,10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224,10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224,10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224,10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10.6.6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охрана окружающей среды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1,80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1,60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3,10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1,80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1,80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1,70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10.6.7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образование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1 557,10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1 700,10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1 963,10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1 800,40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1 766,50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1 766,10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1 732,60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1 789,00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1 755,60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10.6.8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культура, кинематография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145,90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157,40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172,40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155,10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155,10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155,80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155,80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155,80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155,80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10.6.9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здравоохранение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2,30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5,60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10.6.10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социальная политика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121,80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344,20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388,60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83,10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83,10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85,50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85,50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85,50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85,50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10.6.11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физическая культура и спорт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124,30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136,50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568,20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117,50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117,50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117,70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117,70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117,70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117,70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10.6.12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средства массовой информации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27,00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26,60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30,50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27,00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27,00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27,20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27,20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10.6.13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обслуживание государственного и муниципального долга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5,50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4,50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10.7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Дефицит(-), профицит(+) консолидированного бюджета субъекта Российской Федерации, млн рублей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1 378,80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-1 051,20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-775,60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-115,97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-116,00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-114,99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-115,00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-114,01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-114,00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10.8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Государственный долг субъекта Российской Федерации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10.9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Муниципальный долг муниципальных образований, входящих в состав субъекта Российской Федерации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176,30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</w:tr>
      <w:tr w:rsidR="007102B4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4786" w:type="dxa"/>
            <w:gridSpan w:val="11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>Денежные доходы населения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Реальные располагаемые денежные доходы населения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97,18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100,50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98,50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102,30</w:t>
            </w:r>
          </w:p>
        </w:tc>
      </w:tr>
      <w:tr w:rsidR="007102B4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11.2</w:t>
            </w:r>
          </w:p>
        </w:tc>
        <w:tc>
          <w:tcPr>
            <w:tcW w:w="3431" w:type="dxa"/>
            <w:shd w:val="clear" w:color="auto" w:fill="auto"/>
            <w:hideMark/>
          </w:tcPr>
          <w:p w:rsidR="007102B4" w:rsidRPr="009824D4" w:rsidRDefault="007102B4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Прожиточный минимум в среднем на душу населения (в среднем за год), в том числе по основным социально-демографическим группам населения: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руб./мес.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7102B4" w:rsidRPr="009824D4" w:rsidRDefault="007102B4" w:rsidP="007102B4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14 471,00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7102B4" w:rsidRPr="009824D4" w:rsidRDefault="007102B4" w:rsidP="007102B4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14 699,00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15 332,00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15 792,00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15 807,00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16 376,00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16 392,00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16 966,00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16 982,00</w:t>
            </w:r>
          </w:p>
        </w:tc>
      </w:tr>
      <w:tr w:rsidR="007102B4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11.2.1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трудоспособного населения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руб./мес.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7102B4" w:rsidRPr="009824D4" w:rsidRDefault="007102B4" w:rsidP="007102B4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15 615,00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7102B4" w:rsidRPr="009824D4" w:rsidRDefault="007102B4" w:rsidP="007102B4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15 889,00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16 472,00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16 966,00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16 983,00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17 594,00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17 611,00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18 227,00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18 245,00</w:t>
            </w:r>
          </w:p>
        </w:tc>
      </w:tr>
      <w:tr w:rsidR="007102B4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11.2.2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пенсионеров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руб./мес.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7102B4" w:rsidRPr="009824D4" w:rsidRDefault="007102B4" w:rsidP="007102B4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11 898,00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7102B4" w:rsidRPr="009824D4" w:rsidRDefault="007102B4" w:rsidP="007102B4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12 067,00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12 500,00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12 875,00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12 888,00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13 351,00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13 365,00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13 832,00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13 846,00</w:t>
            </w:r>
          </w:p>
        </w:tc>
      </w:tr>
      <w:tr w:rsidR="007102B4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11.2.3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детей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руб./мес.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7102B4" w:rsidRPr="009824D4" w:rsidRDefault="007102B4" w:rsidP="007102B4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14 352,00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7102B4" w:rsidRPr="009824D4" w:rsidRDefault="007102B4" w:rsidP="007102B4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14 615,00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15 024,22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15 475,00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15 490,00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16 048,00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16 063,00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16 626,00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18 092,00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11.6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населения с денежными доходами ниже прожиточного минимума к общей численности населения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3,10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2,78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3,14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2,49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2,97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2,23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2,85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2,00</w:t>
            </w:r>
          </w:p>
        </w:tc>
      </w:tr>
      <w:tr w:rsidR="00F6775B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786" w:type="dxa"/>
            <w:gridSpan w:val="11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>Труд и занятость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12.1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рабочей силы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21,77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21,93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21,98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22,03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12.2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трудовых ресурсов – всего, в том числе: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25,89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25,91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26,01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26,01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26,06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26,01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26,01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26,15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12.2.1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трудоспособное население в трудоспособном возрасте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23,65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23,68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23,76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23,76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23,80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23,76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23,84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23,76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23,88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12.2.2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иностранные трудовые мигранты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0,28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0,26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0,28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0,28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12.2.3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лиц старше трудоспособного возраста и подростков, занятых в экономике, в том числе: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1,97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1,99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12.2.3.1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пенсионеры старше трудоспособного возраста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1,97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1,99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12.2.3.2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подростки моложе трудоспособного возраста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занятых в экономике – всего, в том числе по разделам ОКВЭД: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21,77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21,93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21,98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22,03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сельское, лесное хозяйство, охота, рыболовство и рыбоводство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0,02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0,02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0,02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12.3.2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добыча полезных ископаемых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4,82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4,83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4,87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12.3.3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обрабатывающие производства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0,99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1,01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1,01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1,01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1,01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1,01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1,01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1,01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12.3.4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0,64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12.3.5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0,61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0,65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0,65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12.3.6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строительство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0,37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0,37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12.3.7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0,34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0,35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0,35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12.3.8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транспортировка и хранение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3,38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3,38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3,39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3,39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3,40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3,39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3,41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3,39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3,41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12.3.9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деятельность гостиниц и предприятий общественного питания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0,24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0,24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0,24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0,26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12.3.10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деятельность в области информации и связи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12.3.11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деятельность финансовая и страховая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0,11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0,11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0,11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12.3.12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деятельность по операциям с недвижимым имуществом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0,03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0,03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0,03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12.3.13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деятельность профессиональная, научная и техническая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0,41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0,41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0,42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0,42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12.3.14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0,14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0,15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12.3.15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0,63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12.3.16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образование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1,53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1,54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1,54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12.3.17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деятельность в области здравоохранения и социальных услуг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1,46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1,46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1,47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1,47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1,47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1,47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1,47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1,47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1,48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12.3.18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0,31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0,31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12.3.19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прочие виды экономической деятельности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0,07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0,07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12.4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населения в трудоспособном возрасте, не занятого в экономике – всего, в том числе: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3,83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3,89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3,90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3,85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12.4.1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учащихся трудоспособного возраста, обучающихся с отрывом от производства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0,57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0,58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0,58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12.4.2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безработных, зарегистрированных в органах службы занятости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0,05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0,05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0,07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12.4.3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прочих категорий населения в трудоспособном возрасте, не занятого в экономике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3,27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3,24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3,20</w:t>
            </w:r>
          </w:p>
        </w:tc>
      </w:tr>
      <w:tr w:rsidR="00F6775B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12.5</w:t>
            </w:r>
          </w:p>
        </w:tc>
        <w:tc>
          <w:tcPr>
            <w:tcW w:w="3431" w:type="dxa"/>
            <w:shd w:val="clear" w:color="auto" w:fill="auto"/>
            <w:hideMark/>
          </w:tcPr>
          <w:p w:rsidR="00F6775B" w:rsidRPr="009824D4" w:rsidRDefault="00F6775B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Номинальная начисленная среднемесячная заработная плата работников организаций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66 335,00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68 225,70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67 884,57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71 889,76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72 840,15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75 699,92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77 210,55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80 241,91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82 383,66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12.6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Темп роста номинальной начисленной среднемесячной заработной платы работников организаций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110,58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102,85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99,50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107,30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105,30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106,70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12.9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Реальная заработная плата работников организаций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107,47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98,14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96,04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103,42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103,57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103,95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12.10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производительности труда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в % к предыдущему году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103,70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103,70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103,70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103,70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12.11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Уровень безработицы (по методологии МОТ)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раб. силе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17,60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17,85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17,85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17,85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17,69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17,85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17,56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17,85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17,45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12.12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Уровень зарегистрированной безработицы (на конец года)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3,40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3,40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0,80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0,80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12.13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Общая численность безработных (по методологии МОТ)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3,83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3,89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3,90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3,85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12.14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безработных, зарегистрированных в государственных учреждениях службы занятости населения (на конец года)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0,05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0,85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0,85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0,10</w:t>
            </w:r>
          </w:p>
        </w:tc>
      </w:tr>
      <w:tr w:rsidR="00F6775B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12.15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Фонд заработной платы работников организаций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12 567,57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12 469,99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12 270,47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13 153,94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13 313,46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13 969,49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14 205,46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14 905,44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15 228,26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12.16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Темп роста фонда заработной платы работников организаций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115,36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99,22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98,40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107,20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108,50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107,20</w:t>
            </w:r>
          </w:p>
        </w:tc>
      </w:tr>
    </w:tbl>
    <w:p w:rsidR="00EF4151" w:rsidRPr="00884FF2" w:rsidRDefault="00EF4151" w:rsidP="00F05697">
      <w:pPr>
        <w:jc w:val="center"/>
        <w:rPr>
          <w:bCs/>
          <w:sz w:val="20"/>
          <w:szCs w:val="20"/>
        </w:rPr>
      </w:pPr>
    </w:p>
    <w:sectPr w:rsidR="00EF4151" w:rsidRPr="00884FF2" w:rsidSect="004250DD">
      <w:headerReference w:type="default" r:id="rId11"/>
      <w:pgSz w:w="16838" w:h="11906" w:orient="landscape" w:code="9"/>
      <w:pgMar w:top="851" w:right="567" w:bottom="851" w:left="567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079D" w:rsidRDefault="0085079D">
      <w:r>
        <w:separator/>
      </w:r>
    </w:p>
  </w:endnote>
  <w:endnote w:type="continuationSeparator" w:id="0">
    <w:p w:rsidR="0085079D" w:rsidRDefault="00850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079D" w:rsidRDefault="0085079D">
      <w:r>
        <w:separator/>
      </w:r>
    </w:p>
  </w:footnote>
  <w:footnote w:type="continuationSeparator" w:id="0">
    <w:p w:rsidR="0085079D" w:rsidRDefault="00850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6398" w:rsidRDefault="00AB6398" w:rsidP="004E728B">
    <w:pPr>
      <w:pStyle w:val="a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B6398" w:rsidRDefault="00AB639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6988695"/>
      <w:docPartObj>
        <w:docPartGallery w:val="Page Numbers (Top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:rsidR="009D7BD3" w:rsidRPr="009D7BD3" w:rsidRDefault="009D7BD3">
        <w:pPr>
          <w:pStyle w:val="a3"/>
          <w:jc w:val="right"/>
          <w:rPr>
            <w:rFonts w:asciiTheme="minorHAnsi" w:hAnsiTheme="minorHAnsi"/>
            <w:sz w:val="22"/>
            <w:szCs w:val="22"/>
          </w:rPr>
        </w:pPr>
        <w:r w:rsidRPr="009D7BD3">
          <w:rPr>
            <w:rFonts w:asciiTheme="minorHAnsi" w:hAnsiTheme="minorHAnsi"/>
            <w:sz w:val="22"/>
            <w:szCs w:val="22"/>
          </w:rPr>
          <w:fldChar w:fldCharType="begin"/>
        </w:r>
        <w:r w:rsidRPr="009D7BD3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9D7BD3">
          <w:rPr>
            <w:rFonts w:asciiTheme="minorHAnsi" w:hAnsiTheme="minorHAnsi"/>
            <w:sz w:val="22"/>
            <w:szCs w:val="22"/>
          </w:rPr>
          <w:fldChar w:fldCharType="separate"/>
        </w:r>
        <w:r w:rsidR="001659BD">
          <w:rPr>
            <w:rFonts w:asciiTheme="minorHAnsi" w:hAnsiTheme="minorHAnsi"/>
            <w:noProof/>
            <w:sz w:val="22"/>
            <w:szCs w:val="22"/>
          </w:rPr>
          <w:t>342</w:t>
        </w:r>
        <w:r w:rsidRPr="009D7BD3">
          <w:rPr>
            <w:rFonts w:asciiTheme="minorHAnsi" w:hAnsiTheme="minorHAnsi"/>
            <w:sz w:val="22"/>
            <w:szCs w:val="22"/>
          </w:rPr>
          <w:fldChar w:fldCharType="end"/>
        </w:r>
      </w:p>
    </w:sdtContent>
  </w:sdt>
  <w:p w:rsidR="00AB6398" w:rsidRDefault="00AB639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11133368"/>
      <w:docPartObj>
        <w:docPartGallery w:val="Page Numbers (Top of Page)"/>
        <w:docPartUnique/>
      </w:docPartObj>
    </w:sdtPr>
    <w:sdtEndPr/>
    <w:sdtContent>
      <w:p w:rsidR="008F1F0E" w:rsidRDefault="008F1F0E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59BD">
          <w:rPr>
            <w:noProof/>
          </w:rPr>
          <w:t>339</w:t>
        </w:r>
        <w:r>
          <w:fldChar w:fldCharType="end"/>
        </w:r>
      </w:p>
    </w:sdtContent>
  </w:sdt>
  <w:p w:rsidR="00554DB9" w:rsidRDefault="00554DB9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9510004"/>
      <w:docPartObj>
        <w:docPartGallery w:val="Page Numbers (Top of Page)"/>
        <w:docPartUnique/>
      </w:docPartObj>
    </w:sdtPr>
    <w:sdtEndPr/>
    <w:sdtContent>
      <w:p w:rsidR="004250DD" w:rsidRDefault="004250DD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59BD">
          <w:rPr>
            <w:noProof/>
          </w:rPr>
          <w:t>372</w:t>
        </w:r>
        <w:r>
          <w:fldChar w:fldCharType="end"/>
        </w:r>
      </w:p>
    </w:sdtContent>
  </w:sdt>
  <w:p w:rsidR="00554DB9" w:rsidRDefault="00554DB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31CD8"/>
    <w:multiLevelType w:val="singleLevel"/>
    <w:tmpl w:val="621054E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" w15:restartNumberingAfterBreak="0">
    <w:nsid w:val="020D4BEC"/>
    <w:multiLevelType w:val="multilevel"/>
    <w:tmpl w:val="E816484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 w:val="0"/>
      </w:rPr>
    </w:lvl>
    <w:lvl w:ilvl="1">
      <w:start w:val="2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11A93853"/>
    <w:multiLevelType w:val="hybridMultilevel"/>
    <w:tmpl w:val="06789672"/>
    <w:lvl w:ilvl="0" w:tplc="0B6816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38596CCB"/>
    <w:multiLevelType w:val="singleLevel"/>
    <w:tmpl w:val="889A168C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8DA3E5E"/>
    <w:multiLevelType w:val="multilevel"/>
    <w:tmpl w:val="C3BA3FD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3B1D77CC"/>
    <w:multiLevelType w:val="hybridMultilevel"/>
    <w:tmpl w:val="CE0C5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76093"/>
    <w:multiLevelType w:val="hybridMultilevel"/>
    <w:tmpl w:val="81C25BCC"/>
    <w:lvl w:ilvl="0" w:tplc="7F86C7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C56DE"/>
    <w:multiLevelType w:val="hybridMultilevel"/>
    <w:tmpl w:val="EFF65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44A1A"/>
    <w:multiLevelType w:val="hybridMultilevel"/>
    <w:tmpl w:val="4D58B814"/>
    <w:lvl w:ilvl="0" w:tplc="64CEB6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272CD1E">
      <w:numFmt w:val="none"/>
      <w:lvlText w:val=""/>
      <w:lvlJc w:val="left"/>
      <w:pPr>
        <w:tabs>
          <w:tab w:val="num" w:pos="360"/>
        </w:tabs>
      </w:pPr>
    </w:lvl>
    <w:lvl w:ilvl="2" w:tplc="6D50F79E">
      <w:numFmt w:val="none"/>
      <w:lvlText w:val=""/>
      <w:lvlJc w:val="left"/>
      <w:pPr>
        <w:tabs>
          <w:tab w:val="num" w:pos="360"/>
        </w:tabs>
      </w:pPr>
    </w:lvl>
    <w:lvl w:ilvl="3" w:tplc="0B62E8BA">
      <w:numFmt w:val="none"/>
      <w:lvlText w:val=""/>
      <w:lvlJc w:val="left"/>
      <w:pPr>
        <w:tabs>
          <w:tab w:val="num" w:pos="360"/>
        </w:tabs>
      </w:pPr>
    </w:lvl>
    <w:lvl w:ilvl="4" w:tplc="C362049A">
      <w:numFmt w:val="none"/>
      <w:lvlText w:val=""/>
      <w:lvlJc w:val="left"/>
      <w:pPr>
        <w:tabs>
          <w:tab w:val="num" w:pos="360"/>
        </w:tabs>
      </w:pPr>
    </w:lvl>
    <w:lvl w:ilvl="5" w:tplc="DBCE1F56">
      <w:numFmt w:val="none"/>
      <w:lvlText w:val=""/>
      <w:lvlJc w:val="left"/>
      <w:pPr>
        <w:tabs>
          <w:tab w:val="num" w:pos="360"/>
        </w:tabs>
      </w:pPr>
    </w:lvl>
    <w:lvl w:ilvl="6" w:tplc="67860A90">
      <w:numFmt w:val="none"/>
      <w:lvlText w:val=""/>
      <w:lvlJc w:val="left"/>
      <w:pPr>
        <w:tabs>
          <w:tab w:val="num" w:pos="360"/>
        </w:tabs>
      </w:pPr>
    </w:lvl>
    <w:lvl w:ilvl="7" w:tplc="AA449000">
      <w:numFmt w:val="none"/>
      <w:lvlText w:val=""/>
      <w:lvlJc w:val="left"/>
      <w:pPr>
        <w:tabs>
          <w:tab w:val="num" w:pos="360"/>
        </w:tabs>
      </w:pPr>
    </w:lvl>
    <w:lvl w:ilvl="8" w:tplc="ECA039A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478D3B6C"/>
    <w:multiLevelType w:val="hybridMultilevel"/>
    <w:tmpl w:val="38E40158"/>
    <w:lvl w:ilvl="0" w:tplc="90B4DF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023A82"/>
    <w:multiLevelType w:val="hybridMultilevel"/>
    <w:tmpl w:val="8230EB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5B7E16"/>
    <w:multiLevelType w:val="hybridMultilevel"/>
    <w:tmpl w:val="C3BA352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3" w15:restartNumberingAfterBreak="0">
    <w:nsid w:val="4E2768F2"/>
    <w:multiLevelType w:val="hybridMultilevel"/>
    <w:tmpl w:val="FEDCDA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2B3E91"/>
    <w:multiLevelType w:val="hybridMultilevel"/>
    <w:tmpl w:val="79E22E82"/>
    <w:lvl w:ilvl="0" w:tplc="DA28C64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 w15:restartNumberingAfterBreak="0">
    <w:nsid w:val="5B7732F8"/>
    <w:multiLevelType w:val="multilevel"/>
    <w:tmpl w:val="2B1C1B9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6CDA2344"/>
    <w:multiLevelType w:val="singleLevel"/>
    <w:tmpl w:val="4AD4F73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17" w15:restartNumberingAfterBreak="0">
    <w:nsid w:val="6D9D6415"/>
    <w:multiLevelType w:val="hybridMultilevel"/>
    <w:tmpl w:val="791203E2"/>
    <w:lvl w:ilvl="0" w:tplc="A12A5E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F3513B1"/>
    <w:multiLevelType w:val="hybridMultilevel"/>
    <w:tmpl w:val="3DD226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489079C"/>
    <w:multiLevelType w:val="hybridMultilevel"/>
    <w:tmpl w:val="4EEC49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B12A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7A4E5649"/>
    <w:multiLevelType w:val="multilevel"/>
    <w:tmpl w:val="5D04CF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C424531"/>
    <w:multiLevelType w:val="singleLevel"/>
    <w:tmpl w:val="03E8497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21"/>
  </w:num>
  <w:num w:numId="3">
    <w:abstractNumId w:val="16"/>
  </w:num>
  <w:num w:numId="4">
    <w:abstractNumId w:val="18"/>
  </w:num>
  <w:num w:numId="5">
    <w:abstractNumId w:val="20"/>
  </w:num>
  <w:num w:numId="6">
    <w:abstractNumId w:val="22"/>
  </w:num>
  <w:num w:numId="7">
    <w:abstractNumId w:val="0"/>
  </w:num>
  <w:num w:numId="8">
    <w:abstractNumId w:val="13"/>
  </w:num>
  <w:num w:numId="9">
    <w:abstractNumId w:val="19"/>
  </w:num>
  <w:num w:numId="10">
    <w:abstractNumId w:val="15"/>
  </w:num>
  <w:num w:numId="11">
    <w:abstractNumId w:val="5"/>
  </w:num>
  <w:num w:numId="12">
    <w:abstractNumId w:val="1"/>
  </w:num>
  <w:num w:numId="13">
    <w:abstractNumId w:val="7"/>
  </w:num>
  <w:num w:numId="14">
    <w:abstractNumId w:val="2"/>
  </w:num>
  <w:num w:numId="15">
    <w:abstractNumId w:val="12"/>
  </w:num>
  <w:num w:numId="16">
    <w:abstractNumId w:val="14"/>
  </w:num>
  <w:num w:numId="17">
    <w:abstractNumId w:val="11"/>
  </w:num>
  <w:num w:numId="18">
    <w:abstractNumId w:val="9"/>
  </w:num>
  <w:num w:numId="19">
    <w:abstractNumId w:val="8"/>
  </w:num>
  <w:num w:numId="20">
    <w:abstractNumId w:val="10"/>
  </w:num>
  <w:num w:numId="21">
    <w:abstractNumId w:val="17"/>
  </w:num>
  <w:num w:numId="22">
    <w:abstractNumId w:val="6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DB6"/>
    <w:rsid w:val="00000ED9"/>
    <w:rsid w:val="000022EA"/>
    <w:rsid w:val="00003EA8"/>
    <w:rsid w:val="000137DA"/>
    <w:rsid w:val="00017F2D"/>
    <w:rsid w:val="000200DA"/>
    <w:rsid w:val="00023046"/>
    <w:rsid w:val="00026ABC"/>
    <w:rsid w:val="00031F4F"/>
    <w:rsid w:val="00052B99"/>
    <w:rsid w:val="00053975"/>
    <w:rsid w:val="00054422"/>
    <w:rsid w:val="00054B6B"/>
    <w:rsid w:val="00056262"/>
    <w:rsid w:val="000635F8"/>
    <w:rsid w:val="000665C6"/>
    <w:rsid w:val="00070BA6"/>
    <w:rsid w:val="00073FD9"/>
    <w:rsid w:val="00075678"/>
    <w:rsid w:val="00075BFD"/>
    <w:rsid w:val="00076A3C"/>
    <w:rsid w:val="0007789C"/>
    <w:rsid w:val="000909DC"/>
    <w:rsid w:val="00095FFE"/>
    <w:rsid w:val="00096199"/>
    <w:rsid w:val="000977B8"/>
    <w:rsid w:val="000A101B"/>
    <w:rsid w:val="000A2EBD"/>
    <w:rsid w:val="000A3EE3"/>
    <w:rsid w:val="000A782B"/>
    <w:rsid w:val="000B1CD8"/>
    <w:rsid w:val="000C530A"/>
    <w:rsid w:val="000C66BC"/>
    <w:rsid w:val="000D469B"/>
    <w:rsid w:val="000D7179"/>
    <w:rsid w:val="000E02E2"/>
    <w:rsid w:val="000E1714"/>
    <w:rsid w:val="000E1778"/>
    <w:rsid w:val="000F3254"/>
    <w:rsid w:val="000F4BBA"/>
    <w:rsid w:val="000F674A"/>
    <w:rsid w:val="00102A8D"/>
    <w:rsid w:val="00114E35"/>
    <w:rsid w:val="00116098"/>
    <w:rsid w:val="00116500"/>
    <w:rsid w:val="001241E4"/>
    <w:rsid w:val="00125D8F"/>
    <w:rsid w:val="00130C37"/>
    <w:rsid w:val="00131A7A"/>
    <w:rsid w:val="0013217E"/>
    <w:rsid w:val="0013332A"/>
    <w:rsid w:val="001434AD"/>
    <w:rsid w:val="00143C33"/>
    <w:rsid w:val="001456C4"/>
    <w:rsid w:val="00145DAA"/>
    <w:rsid w:val="001513DB"/>
    <w:rsid w:val="00152F85"/>
    <w:rsid w:val="00156376"/>
    <w:rsid w:val="001579F2"/>
    <w:rsid w:val="001623AC"/>
    <w:rsid w:val="001659BD"/>
    <w:rsid w:val="0018085D"/>
    <w:rsid w:val="001823C0"/>
    <w:rsid w:val="00192CF9"/>
    <w:rsid w:val="00195437"/>
    <w:rsid w:val="001A1CFD"/>
    <w:rsid w:val="001A2EBB"/>
    <w:rsid w:val="001A6D19"/>
    <w:rsid w:val="001A7A70"/>
    <w:rsid w:val="001C0D4D"/>
    <w:rsid w:val="001C5BDA"/>
    <w:rsid w:val="001D2C41"/>
    <w:rsid w:val="001D5EDB"/>
    <w:rsid w:val="001D778E"/>
    <w:rsid w:val="001E46B4"/>
    <w:rsid w:val="001F5AE6"/>
    <w:rsid w:val="002052A5"/>
    <w:rsid w:val="002076BD"/>
    <w:rsid w:val="00216681"/>
    <w:rsid w:val="0022602B"/>
    <w:rsid w:val="002331A0"/>
    <w:rsid w:val="00235B5B"/>
    <w:rsid w:val="00243169"/>
    <w:rsid w:val="00247AAD"/>
    <w:rsid w:val="00252B9D"/>
    <w:rsid w:val="0026317E"/>
    <w:rsid w:val="00265C28"/>
    <w:rsid w:val="002710C5"/>
    <w:rsid w:val="0027156E"/>
    <w:rsid w:val="00272DCF"/>
    <w:rsid w:val="0027761B"/>
    <w:rsid w:val="00281280"/>
    <w:rsid w:val="002824DD"/>
    <w:rsid w:val="00284E16"/>
    <w:rsid w:val="0028730C"/>
    <w:rsid w:val="00287846"/>
    <w:rsid w:val="00287BAC"/>
    <w:rsid w:val="002901BE"/>
    <w:rsid w:val="002947CF"/>
    <w:rsid w:val="00295A06"/>
    <w:rsid w:val="0029777A"/>
    <w:rsid w:val="00297792"/>
    <w:rsid w:val="002A32C6"/>
    <w:rsid w:val="002A55B6"/>
    <w:rsid w:val="002B0A28"/>
    <w:rsid w:val="002B1E97"/>
    <w:rsid w:val="002B48AA"/>
    <w:rsid w:val="002B6FB0"/>
    <w:rsid w:val="002C2943"/>
    <w:rsid w:val="002C3EE3"/>
    <w:rsid w:val="002D0477"/>
    <w:rsid w:val="002D12F8"/>
    <w:rsid w:val="002D5681"/>
    <w:rsid w:val="002D6F75"/>
    <w:rsid w:val="002F4D8B"/>
    <w:rsid w:val="003012E0"/>
    <w:rsid w:val="00301F86"/>
    <w:rsid w:val="00303ACC"/>
    <w:rsid w:val="003066E2"/>
    <w:rsid w:val="00311EAF"/>
    <w:rsid w:val="00315B4F"/>
    <w:rsid w:val="00317DD3"/>
    <w:rsid w:val="00324874"/>
    <w:rsid w:val="0034196C"/>
    <w:rsid w:val="0034248F"/>
    <w:rsid w:val="0034685F"/>
    <w:rsid w:val="0034765D"/>
    <w:rsid w:val="00347A61"/>
    <w:rsid w:val="00347D62"/>
    <w:rsid w:val="00351B96"/>
    <w:rsid w:val="00352BB7"/>
    <w:rsid w:val="00363ECD"/>
    <w:rsid w:val="00376CF6"/>
    <w:rsid w:val="0037736A"/>
    <w:rsid w:val="003809AC"/>
    <w:rsid w:val="003818D0"/>
    <w:rsid w:val="003867CB"/>
    <w:rsid w:val="003959CA"/>
    <w:rsid w:val="003A07A3"/>
    <w:rsid w:val="003A4384"/>
    <w:rsid w:val="003A4CB5"/>
    <w:rsid w:val="003A58C9"/>
    <w:rsid w:val="003A5E0C"/>
    <w:rsid w:val="003B0779"/>
    <w:rsid w:val="003B51C6"/>
    <w:rsid w:val="003C0564"/>
    <w:rsid w:val="003C7AB6"/>
    <w:rsid w:val="003D08E0"/>
    <w:rsid w:val="003D4B64"/>
    <w:rsid w:val="003D7A1A"/>
    <w:rsid w:val="003E47FF"/>
    <w:rsid w:val="003E4C95"/>
    <w:rsid w:val="003E5880"/>
    <w:rsid w:val="003E7A38"/>
    <w:rsid w:val="003F24F4"/>
    <w:rsid w:val="003F2BD3"/>
    <w:rsid w:val="003F7317"/>
    <w:rsid w:val="0040008B"/>
    <w:rsid w:val="0040122D"/>
    <w:rsid w:val="00401632"/>
    <w:rsid w:val="0040447E"/>
    <w:rsid w:val="00412004"/>
    <w:rsid w:val="0041453E"/>
    <w:rsid w:val="00416D08"/>
    <w:rsid w:val="00417035"/>
    <w:rsid w:val="0042117D"/>
    <w:rsid w:val="00424EA5"/>
    <w:rsid w:val="004250DD"/>
    <w:rsid w:val="00430904"/>
    <w:rsid w:val="0043489B"/>
    <w:rsid w:val="00435505"/>
    <w:rsid w:val="00441CD7"/>
    <w:rsid w:val="00447F69"/>
    <w:rsid w:val="00451348"/>
    <w:rsid w:val="00452B91"/>
    <w:rsid w:val="00456947"/>
    <w:rsid w:val="00465577"/>
    <w:rsid w:val="004722BF"/>
    <w:rsid w:val="00475B83"/>
    <w:rsid w:val="004871C8"/>
    <w:rsid w:val="0049565A"/>
    <w:rsid w:val="00496753"/>
    <w:rsid w:val="00496C87"/>
    <w:rsid w:val="004A219D"/>
    <w:rsid w:val="004A2F34"/>
    <w:rsid w:val="004B437E"/>
    <w:rsid w:val="004B73B8"/>
    <w:rsid w:val="004B7E79"/>
    <w:rsid w:val="004C1909"/>
    <w:rsid w:val="004D2AB7"/>
    <w:rsid w:val="004D2EA7"/>
    <w:rsid w:val="004D3603"/>
    <w:rsid w:val="004E728B"/>
    <w:rsid w:val="004F0318"/>
    <w:rsid w:val="004F42F8"/>
    <w:rsid w:val="004F5451"/>
    <w:rsid w:val="004F6BD8"/>
    <w:rsid w:val="004F77D6"/>
    <w:rsid w:val="004F786D"/>
    <w:rsid w:val="005025A2"/>
    <w:rsid w:val="0050379D"/>
    <w:rsid w:val="005042AB"/>
    <w:rsid w:val="00505144"/>
    <w:rsid w:val="005140E7"/>
    <w:rsid w:val="00521E07"/>
    <w:rsid w:val="00525723"/>
    <w:rsid w:val="00526310"/>
    <w:rsid w:val="00526CFB"/>
    <w:rsid w:val="00530AD6"/>
    <w:rsid w:val="005324B9"/>
    <w:rsid w:val="00533B8C"/>
    <w:rsid w:val="00535D9E"/>
    <w:rsid w:val="00537F3D"/>
    <w:rsid w:val="005527E7"/>
    <w:rsid w:val="00553106"/>
    <w:rsid w:val="005543D6"/>
    <w:rsid w:val="00554DB9"/>
    <w:rsid w:val="00555AC8"/>
    <w:rsid w:val="00556DC8"/>
    <w:rsid w:val="00565697"/>
    <w:rsid w:val="005666CD"/>
    <w:rsid w:val="00570228"/>
    <w:rsid w:val="005714DD"/>
    <w:rsid w:val="00572B0E"/>
    <w:rsid w:val="00576CCF"/>
    <w:rsid w:val="00577A15"/>
    <w:rsid w:val="0058041A"/>
    <w:rsid w:val="0058045D"/>
    <w:rsid w:val="00582257"/>
    <w:rsid w:val="00583A3C"/>
    <w:rsid w:val="00593A3D"/>
    <w:rsid w:val="00596A70"/>
    <w:rsid w:val="005A2A78"/>
    <w:rsid w:val="005A2F17"/>
    <w:rsid w:val="005A66AC"/>
    <w:rsid w:val="005A6EBC"/>
    <w:rsid w:val="005B05E1"/>
    <w:rsid w:val="005B4046"/>
    <w:rsid w:val="005B69F6"/>
    <w:rsid w:val="005C31A6"/>
    <w:rsid w:val="005C40E7"/>
    <w:rsid w:val="005C60A4"/>
    <w:rsid w:val="005C641F"/>
    <w:rsid w:val="005D2F25"/>
    <w:rsid w:val="005D4641"/>
    <w:rsid w:val="005D53B8"/>
    <w:rsid w:val="005E2277"/>
    <w:rsid w:val="005E643A"/>
    <w:rsid w:val="005E7F4D"/>
    <w:rsid w:val="005F0F94"/>
    <w:rsid w:val="005F2D49"/>
    <w:rsid w:val="005F33A5"/>
    <w:rsid w:val="005F3B08"/>
    <w:rsid w:val="005F3CB6"/>
    <w:rsid w:val="005F44FB"/>
    <w:rsid w:val="005F6089"/>
    <w:rsid w:val="005F79FE"/>
    <w:rsid w:val="00601A25"/>
    <w:rsid w:val="006066A2"/>
    <w:rsid w:val="0061100C"/>
    <w:rsid w:val="006117EC"/>
    <w:rsid w:val="00612792"/>
    <w:rsid w:val="00613649"/>
    <w:rsid w:val="00614C1E"/>
    <w:rsid w:val="006151D9"/>
    <w:rsid w:val="00620ABB"/>
    <w:rsid w:val="0062178F"/>
    <w:rsid w:val="0062295E"/>
    <w:rsid w:val="00625D7F"/>
    <w:rsid w:val="006327DD"/>
    <w:rsid w:val="00632FB2"/>
    <w:rsid w:val="006352AB"/>
    <w:rsid w:val="0063684F"/>
    <w:rsid w:val="00645A68"/>
    <w:rsid w:val="00645CD4"/>
    <w:rsid w:val="00646CE1"/>
    <w:rsid w:val="00653D54"/>
    <w:rsid w:val="006552AE"/>
    <w:rsid w:val="0065766B"/>
    <w:rsid w:val="00664220"/>
    <w:rsid w:val="00670335"/>
    <w:rsid w:val="00674F0A"/>
    <w:rsid w:val="0067508F"/>
    <w:rsid w:val="00677B2E"/>
    <w:rsid w:val="006802CE"/>
    <w:rsid w:val="00680418"/>
    <w:rsid w:val="00682CD8"/>
    <w:rsid w:val="0068649D"/>
    <w:rsid w:val="00686DEF"/>
    <w:rsid w:val="006872D9"/>
    <w:rsid w:val="00695299"/>
    <w:rsid w:val="0069643F"/>
    <w:rsid w:val="006A42EA"/>
    <w:rsid w:val="006B184A"/>
    <w:rsid w:val="006B70B5"/>
    <w:rsid w:val="006C2A14"/>
    <w:rsid w:val="006C48F7"/>
    <w:rsid w:val="006C7436"/>
    <w:rsid w:val="006D3440"/>
    <w:rsid w:val="006D7096"/>
    <w:rsid w:val="006E6304"/>
    <w:rsid w:val="006F1017"/>
    <w:rsid w:val="006F4912"/>
    <w:rsid w:val="00701A0C"/>
    <w:rsid w:val="00707632"/>
    <w:rsid w:val="007102B4"/>
    <w:rsid w:val="00710496"/>
    <w:rsid w:val="00713D90"/>
    <w:rsid w:val="00714B15"/>
    <w:rsid w:val="0071748D"/>
    <w:rsid w:val="00717680"/>
    <w:rsid w:val="00720159"/>
    <w:rsid w:val="007253BC"/>
    <w:rsid w:val="007313EE"/>
    <w:rsid w:val="00731446"/>
    <w:rsid w:val="00733AE2"/>
    <w:rsid w:val="007449D2"/>
    <w:rsid w:val="00746C6F"/>
    <w:rsid w:val="00753B1C"/>
    <w:rsid w:val="0076045B"/>
    <w:rsid w:val="007611DB"/>
    <w:rsid w:val="00771037"/>
    <w:rsid w:val="00773620"/>
    <w:rsid w:val="00773BE0"/>
    <w:rsid w:val="00774B0D"/>
    <w:rsid w:val="0077785D"/>
    <w:rsid w:val="00780622"/>
    <w:rsid w:val="00781982"/>
    <w:rsid w:val="00787346"/>
    <w:rsid w:val="0079006C"/>
    <w:rsid w:val="007944F7"/>
    <w:rsid w:val="007949E0"/>
    <w:rsid w:val="007A0635"/>
    <w:rsid w:val="007A138D"/>
    <w:rsid w:val="007A32CF"/>
    <w:rsid w:val="007A6104"/>
    <w:rsid w:val="007A637A"/>
    <w:rsid w:val="007B0533"/>
    <w:rsid w:val="007B240C"/>
    <w:rsid w:val="007B3BFC"/>
    <w:rsid w:val="007C01FA"/>
    <w:rsid w:val="007C077D"/>
    <w:rsid w:val="007C2A2D"/>
    <w:rsid w:val="007D0079"/>
    <w:rsid w:val="007D26DC"/>
    <w:rsid w:val="007E18C2"/>
    <w:rsid w:val="007E26DC"/>
    <w:rsid w:val="007E3970"/>
    <w:rsid w:val="007E5058"/>
    <w:rsid w:val="007E6D50"/>
    <w:rsid w:val="007F2E76"/>
    <w:rsid w:val="007F5502"/>
    <w:rsid w:val="007F7CFB"/>
    <w:rsid w:val="00803916"/>
    <w:rsid w:val="008066AE"/>
    <w:rsid w:val="00816AE1"/>
    <w:rsid w:val="0081704A"/>
    <w:rsid w:val="008218CE"/>
    <w:rsid w:val="0082221A"/>
    <w:rsid w:val="0082231F"/>
    <w:rsid w:val="00826B31"/>
    <w:rsid w:val="00836550"/>
    <w:rsid w:val="00836ADA"/>
    <w:rsid w:val="00840591"/>
    <w:rsid w:val="00840C4C"/>
    <w:rsid w:val="00841758"/>
    <w:rsid w:val="00842A88"/>
    <w:rsid w:val="00843897"/>
    <w:rsid w:val="008454AA"/>
    <w:rsid w:val="0085079D"/>
    <w:rsid w:val="008542E7"/>
    <w:rsid w:val="0085585A"/>
    <w:rsid w:val="008567C3"/>
    <w:rsid w:val="00857CEB"/>
    <w:rsid w:val="00862693"/>
    <w:rsid w:val="00866364"/>
    <w:rsid w:val="008710BE"/>
    <w:rsid w:val="00884FF2"/>
    <w:rsid w:val="00891F06"/>
    <w:rsid w:val="00894B68"/>
    <w:rsid w:val="008973F5"/>
    <w:rsid w:val="008B17AF"/>
    <w:rsid w:val="008C406C"/>
    <w:rsid w:val="008D1384"/>
    <w:rsid w:val="008D3AA5"/>
    <w:rsid w:val="008D6E72"/>
    <w:rsid w:val="008E6AED"/>
    <w:rsid w:val="008F1A64"/>
    <w:rsid w:val="008F1F0E"/>
    <w:rsid w:val="008F6BF4"/>
    <w:rsid w:val="0090136F"/>
    <w:rsid w:val="00902056"/>
    <w:rsid w:val="00903EB4"/>
    <w:rsid w:val="00907852"/>
    <w:rsid w:val="009135C5"/>
    <w:rsid w:val="00913DE0"/>
    <w:rsid w:val="00915D2A"/>
    <w:rsid w:val="00916680"/>
    <w:rsid w:val="00922884"/>
    <w:rsid w:val="00922FC6"/>
    <w:rsid w:val="0092553A"/>
    <w:rsid w:val="009256F0"/>
    <w:rsid w:val="00932F75"/>
    <w:rsid w:val="00933B55"/>
    <w:rsid w:val="00942EF3"/>
    <w:rsid w:val="009506E1"/>
    <w:rsid w:val="009515DE"/>
    <w:rsid w:val="00953462"/>
    <w:rsid w:val="00955EED"/>
    <w:rsid w:val="00962279"/>
    <w:rsid w:val="0096506B"/>
    <w:rsid w:val="00965D92"/>
    <w:rsid w:val="009677F9"/>
    <w:rsid w:val="00972E54"/>
    <w:rsid w:val="009824D4"/>
    <w:rsid w:val="00982C3C"/>
    <w:rsid w:val="0098519C"/>
    <w:rsid w:val="0099588E"/>
    <w:rsid w:val="00995DF9"/>
    <w:rsid w:val="009A1323"/>
    <w:rsid w:val="009A2E29"/>
    <w:rsid w:val="009A7773"/>
    <w:rsid w:val="009B02E0"/>
    <w:rsid w:val="009B631E"/>
    <w:rsid w:val="009C002B"/>
    <w:rsid w:val="009C0618"/>
    <w:rsid w:val="009C0F1B"/>
    <w:rsid w:val="009C6462"/>
    <w:rsid w:val="009D301C"/>
    <w:rsid w:val="009D354B"/>
    <w:rsid w:val="009D7BD3"/>
    <w:rsid w:val="009E1013"/>
    <w:rsid w:val="009F099D"/>
    <w:rsid w:val="009F3E9C"/>
    <w:rsid w:val="009F4980"/>
    <w:rsid w:val="00A00728"/>
    <w:rsid w:val="00A12BEB"/>
    <w:rsid w:val="00A12E5F"/>
    <w:rsid w:val="00A15285"/>
    <w:rsid w:val="00A1710D"/>
    <w:rsid w:val="00A2132C"/>
    <w:rsid w:val="00A21FBF"/>
    <w:rsid w:val="00A24D82"/>
    <w:rsid w:val="00A309EB"/>
    <w:rsid w:val="00A30AA2"/>
    <w:rsid w:val="00A30AE9"/>
    <w:rsid w:val="00A353C1"/>
    <w:rsid w:val="00A362E9"/>
    <w:rsid w:val="00A407EC"/>
    <w:rsid w:val="00A409C2"/>
    <w:rsid w:val="00A410C5"/>
    <w:rsid w:val="00A42725"/>
    <w:rsid w:val="00A44F59"/>
    <w:rsid w:val="00A45A52"/>
    <w:rsid w:val="00A4733B"/>
    <w:rsid w:val="00A547EC"/>
    <w:rsid w:val="00A5594A"/>
    <w:rsid w:val="00A57141"/>
    <w:rsid w:val="00A5767B"/>
    <w:rsid w:val="00A600E9"/>
    <w:rsid w:val="00A60DB6"/>
    <w:rsid w:val="00A63728"/>
    <w:rsid w:val="00A65988"/>
    <w:rsid w:val="00A67370"/>
    <w:rsid w:val="00A72640"/>
    <w:rsid w:val="00A7671F"/>
    <w:rsid w:val="00A824CA"/>
    <w:rsid w:val="00A92EDF"/>
    <w:rsid w:val="00A933B1"/>
    <w:rsid w:val="00A9491D"/>
    <w:rsid w:val="00A97341"/>
    <w:rsid w:val="00AA0BBA"/>
    <w:rsid w:val="00AA3E25"/>
    <w:rsid w:val="00AA4294"/>
    <w:rsid w:val="00AB1AA0"/>
    <w:rsid w:val="00AB38BA"/>
    <w:rsid w:val="00AB6398"/>
    <w:rsid w:val="00AB6710"/>
    <w:rsid w:val="00AB7286"/>
    <w:rsid w:val="00AC2CD3"/>
    <w:rsid w:val="00AC497A"/>
    <w:rsid w:val="00AC5C66"/>
    <w:rsid w:val="00AD3EE9"/>
    <w:rsid w:val="00AD52E7"/>
    <w:rsid w:val="00AD77FC"/>
    <w:rsid w:val="00AE19E5"/>
    <w:rsid w:val="00AE55CE"/>
    <w:rsid w:val="00AE784A"/>
    <w:rsid w:val="00B0133D"/>
    <w:rsid w:val="00B0600D"/>
    <w:rsid w:val="00B0797A"/>
    <w:rsid w:val="00B14D1B"/>
    <w:rsid w:val="00B15D81"/>
    <w:rsid w:val="00B1625B"/>
    <w:rsid w:val="00B21007"/>
    <w:rsid w:val="00B23DF7"/>
    <w:rsid w:val="00B24516"/>
    <w:rsid w:val="00B24803"/>
    <w:rsid w:val="00B36725"/>
    <w:rsid w:val="00B37A2A"/>
    <w:rsid w:val="00B50193"/>
    <w:rsid w:val="00B51DFB"/>
    <w:rsid w:val="00B52779"/>
    <w:rsid w:val="00B5384B"/>
    <w:rsid w:val="00B665EF"/>
    <w:rsid w:val="00B80CCA"/>
    <w:rsid w:val="00B86C15"/>
    <w:rsid w:val="00B95352"/>
    <w:rsid w:val="00BA05D6"/>
    <w:rsid w:val="00BA743D"/>
    <w:rsid w:val="00BB019C"/>
    <w:rsid w:val="00BB595F"/>
    <w:rsid w:val="00BC1860"/>
    <w:rsid w:val="00BC2F65"/>
    <w:rsid w:val="00BC3FD9"/>
    <w:rsid w:val="00BC4AB1"/>
    <w:rsid w:val="00BC5EC5"/>
    <w:rsid w:val="00BC66A3"/>
    <w:rsid w:val="00BD1E73"/>
    <w:rsid w:val="00BD4305"/>
    <w:rsid w:val="00BE7ADE"/>
    <w:rsid w:val="00BF179F"/>
    <w:rsid w:val="00BF4913"/>
    <w:rsid w:val="00BF78A3"/>
    <w:rsid w:val="00C01223"/>
    <w:rsid w:val="00C05A63"/>
    <w:rsid w:val="00C0730F"/>
    <w:rsid w:val="00C11624"/>
    <w:rsid w:val="00C121C4"/>
    <w:rsid w:val="00C14E6D"/>
    <w:rsid w:val="00C14F16"/>
    <w:rsid w:val="00C161FB"/>
    <w:rsid w:val="00C21A67"/>
    <w:rsid w:val="00C23EBA"/>
    <w:rsid w:val="00C2585F"/>
    <w:rsid w:val="00C3052F"/>
    <w:rsid w:val="00C334CB"/>
    <w:rsid w:val="00C37C5F"/>
    <w:rsid w:val="00C45C4F"/>
    <w:rsid w:val="00C46713"/>
    <w:rsid w:val="00C5065D"/>
    <w:rsid w:val="00C50C9F"/>
    <w:rsid w:val="00C51FE0"/>
    <w:rsid w:val="00C56EB7"/>
    <w:rsid w:val="00C60F1B"/>
    <w:rsid w:val="00C73919"/>
    <w:rsid w:val="00C80233"/>
    <w:rsid w:val="00C8225C"/>
    <w:rsid w:val="00C824B2"/>
    <w:rsid w:val="00C85652"/>
    <w:rsid w:val="00C858D9"/>
    <w:rsid w:val="00C90D27"/>
    <w:rsid w:val="00C92AC5"/>
    <w:rsid w:val="00C940B3"/>
    <w:rsid w:val="00C94F65"/>
    <w:rsid w:val="00C95845"/>
    <w:rsid w:val="00C95A14"/>
    <w:rsid w:val="00C97775"/>
    <w:rsid w:val="00CA14C5"/>
    <w:rsid w:val="00CA1BDE"/>
    <w:rsid w:val="00CA2F96"/>
    <w:rsid w:val="00CA2FEF"/>
    <w:rsid w:val="00CA43BB"/>
    <w:rsid w:val="00CA45AB"/>
    <w:rsid w:val="00CA49CC"/>
    <w:rsid w:val="00CB0F06"/>
    <w:rsid w:val="00CB784F"/>
    <w:rsid w:val="00CB79C9"/>
    <w:rsid w:val="00CC33D5"/>
    <w:rsid w:val="00CC737A"/>
    <w:rsid w:val="00CC7BFC"/>
    <w:rsid w:val="00CD0DE3"/>
    <w:rsid w:val="00CE494C"/>
    <w:rsid w:val="00D0121A"/>
    <w:rsid w:val="00D10C0F"/>
    <w:rsid w:val="00D11FFE"/>
    <w:rsid w:val="00D1364E"/>
    <w:rsid w:val="00D139E6"/>
    <w:rsid w:val="00D218C3"/>
    <w:rsid w:val="00D2467A"/>
    <w:rsid w:val="00D265F9"/>
    <w:rsid w:val="00D26B34"/>
    <w:rsid w:val="00D31F0F"/>
    <w:rsid w:val="00D3398C"/>
    <w:rsid w:val="00D34954"/>
    <w:rsid w:val="00D42A5F"/>
    <w:rsid w:val="00D52E27"/>
    <w:rsid w:val="00D5348D"/>
    <w:rsid w:val="00D66F9F"/>
    <w:rsid w:val="00D67FEF"/>
    <w:rsid w:val="00D760C6"/>
    <w:rsid w:val="00D84AB4"/>
    <w:rsid w:val="00D9212A"/>
    <w:rsid w:val="00D94D3E"/>
    <w:rsid w:val="00D97C70"/>
    <w:rsid w:val="00DA0D02"/>
    <w:rsid w:val="00DA3915"/>
    <w:rsid w:val="00DA3FB7"/>
    <w:rsid w:val="00DA4008"/>
    <w:rsid w:val="00DA440F"/>
    <w:rsid w:val="00DB1801"/>
    <w:rsid w:val="00DB5F2C"/>
    <w:rsid w:val="00DB6BC6"/>
    <w:rsid w:val="00DC3C8F"/>
    <w:rsid w:val="00DE4A1C"/>
    <w:rsid w:val="00DE5485"/>
    <w:rsid w:val="00DF1B37"/>
    <w:rsid w:val="00DF3E27"/>
    <w:rsid w:val="00DF4B4E"/>
    <w:rsid w:val="00DF5565"/>
    <w:rsid w:val="00DF7EFE"/>
    <w:rsid w:val="00E02D11"/>
    <w:rsid w:val="00E15F7E"/>
    <w:rsid w:val="00E22308"/>
    <w:rsid w:val="00E23CFD"/>
    <w:rsid w:val="00E24366"/>
    <w:rsid w:val="00E256DB"/>
    <w:rsid w:val="00E27FCB"/>
    <w:rsid w:val="00E30BD8"/>
    <w:rsid w:val="00E31AAA"/>
    <w:rsid w:val="00E33FB4"/>
    <w:rsid w:val="00E34BBD"/>
    <w:rsid w:val="00E430F2"/>
    <w:rsid w:val="00E51A5D"/>
    <w:rsid w:val="00E602CB"/>
    <w:rsid w:val="00E61073"/>
    <w:rsid w:val="00E626B1"/>
    <w:rsid w:val="00E67DAC"/>
    <w:rsid w:val="00E709BD"/>
    <w:rsid w:val="00E72E08"/>
    <w:rsid w:val="00E91797"/>
    <w:rsid w:val="00E917F7"/>
    <w:rsid w:val="00E92F43"/>
    <w:rsid w:val="00E947FF"/>
    <w:rsid w:val="00EA2F8A"/>
    <w:rsid w:val="00EB0D44"/>
    <w:rsid w:val="00EB3B09"/>
    <w:rsid w:val="00EC3D3E"/>
    <w:rsid w:val="00EC6D95"/>
    <w:rsid w:val="00EC6E78"/>
    <w:rsid w:val="00ED08C9"/>
    <w:rsid w:val="00ED68C7"/>
    <w:rsid w:val="00ED6B2F"/>
    <w:rsid w:val="00EE5534"/>
    <w:rsid w:val="00EF3708"/>
    <w:rsid w:val="00EF4151"/>
    <w:rsid w:val="00EF48F9"/>
    <w:rsid w:val="00EF7A49"/>
    <w:rsid w:val="00F05697"/>
    <w:rsid w:val="00F05707"/>
    <w:rsid w:val="00F071CC"/>
    <w:rsid w:val="00F10075"/>
    <w:rsid w:val="00F16626"/>
    <w:rsid w:val="00F16D32"/>
    <w:rsid w:val="00F238FE"/>
    <w:rsid w:val="00F2677F"/>
    <w:rsid w:val="00F275FD"/>
    <w:rsid w:val="00F35FBC"/>
    <w:rsid w:val="00F40E8E"/>
    <w:rsid w:val="00F6031C"/>
    <w:rsid w:val="00F629D2"/>
    <w:rsid w:val="00F6626D"/>
    <w:rsid w:val="00F6775B"/>
    <w:rsid w:val="00F731CB"/>
    <w:rsid w:val="00F809AE"/>
    <w:rsid w:val="00F80D8C"/>
    <w:rsid w:val="00F864C4"/>
    <w:rsid w:val="00F9281D"/>
    <w:rsid w:val="00F92A92"/>
    <w:rsid w:val="00F976BC"/>
    <w:rsid w:val="00F97B18"/>
    <w:rsid w:val="00FA06A1"/>
    <w:rsid w:val="00FA4777"/>
    <w:rsid w:val="00FB1DE5"/>
    <w:rsid w:val="00FB5535"/>
    <w:rsid w:val="00FB5CDA"/>
    <w:rsid w:val="00FC0F69"/>
    <w:rsid w:val="00FC2235"/>
    <w:rsid w:val="00FC3D77"/>
    <w:rsid w:val="00FC41E8"/>
    <w:rsid w:val="00FC6B51"/>
    <w:rsid w:val="00FD0AA4"/>
    <w:rsid w:val="00FD20EB"/>
    <w:rsid w:val="00FD5A24"/>
    <w:rsid w:val="00FD7845"/>
    <w:rsid w:val="00FF4342"/>
    <w:rsid w:val="00FF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05A551C2-D9FD-45AD-8007-3FDEF97D6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Cs w:val="20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Cs w:val="20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  <w:szCs w:val="20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paragraph" w:styleId="a6">
    <w:name w:val="Body Text"/>
    <w:basedOn w:val="a"/>
    <w:rsid w:val="004D3603"/>
    <w:rPr>
      <w:b/>
    </w:rPr>
  </w:style>
  <w:style w:type="paragraph" w:styleId="a7">
    <w:name w:val="Body Text Indent"/>
    <w:basedOn w:val="a"/>
    <w:rsid w:val="004D3603"/>
    <w:pPr>
      <w:ind w:left="360"/>
      <w:jc w:val="both"/>
    </w:pPr>
  </w:style>
  <w:style w:type="paragraph" w:styleId="a8">
    <w:name w:val="Balloon Text"/>
    <w:basedOn w:val="a"/>
    <w:semiHidden/>
    <w:rsid w:val="004D3603"/>
    <w:rPr>
      <w:rFonts w:ascii="Tahoma" w:hAnsi="Tahoma" w:cs="Tahoma"/>
      <w:sz w:val="16"/>
      <w:szCs w:val="16"/>
    </w:rPr>
  </w:style>
  <w:style w:type="paragraph" w:styleId="a9">
    <w:name w:val="Title"/>
    <w:basedOn w:val="a"/>
    <w:qFormat/>
    <w:rsid w:val="00252B9D"/>
    <w:pPr>
      <w:jc w:val="center"/>
    </w:pPr>
    <w:rPr>
      <w:sz w:val="32"/>
      <w:szCs w:val="20"/>
    </w:rPr>
  </w:style>
  <w:style w:type="paragraph" w:styleId="20">
    <w:name w:val="Body Text 2"/>
    <w:basedOn w:val="a"/>
    <w:rsid w:val="004F77D6"/>
    <w:pPr>
      <w:spacing w:after="120" w:line="480" w:lineRule="auto"/>
    </w:pPr>
  </w:style>
  <w:style w:type="paragraph" w:customStyle="1" w:styleId="ConsPlusNormal">
    <w:name w:val="ConsPlusNormal"/>
    <w:rsid w:val="0090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98519C"/>
    <w:pPr>
      <w:spacing w:after="120"/>
    </w:pPr>
    <w:rPr>
      <w:sz w:val="16"/>
      <w:szCs w:val="16"/>
    </w:rPr>
  </w:style>
  <w:style w:type="paragraph" w:styleId="aa">
    <w:name w:val="Normal (Web)"/>
    <w:basedOn w:val="a"/>
    <w:rsid w:val="00F10075"/>
    <w:pPr>
      <w:spacing w:before="100" w:beforeAutospacing="1" w:after="100" w:afterAutospacing="1"/>
    </w:pPr>
  </w:style>
  <w:style w:type="character" w:customStyle="1" w:styleId="ab">
    <w:name w:val="Цветовое выделение"/>
    <w:rsid w:val="006E6304"/>
    <w:rPr>
      <w:b/>
      <w:color w:val="000080"/>
    </w:rPr>
  </w:style>
  <w:style w:type="character" w:customStyle="1" w:styleId="ac">
    <w:name w:val="Гипертекстовая ссылка"/>
    <w:rsid w:val="006E6304"/>
    <w:rPr>
      <w:rFonts w:cs="Times New Roman"/>
      <w:b/>
      <w:color w:val="008000"/>
    </w:rPr>
  </w:style>
  <w:style w:type="paragraph" w:customStyle="1" w:styleId="ad">
    <w:name w:val="Нормальный (таблица)"/>
    <w:basedOn w:val="a"/>
    <w:next w:val="a"/>
    <w:rsid w:val="006E630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e">
    <w:name w:val="Прижатый влево"/>
    <w:basedOn w:val="a"/>
    <w:next w:val="a"/>
    <w:rsid w:val="006E6304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Title">
    <w:name w:val="ConsPlusTitle"/>
    <w:rsid w:val="006E630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6E6304"/>
    <w:pPr>
      <w:widowControl w:val="0"/>
      <w:snapToGrid w:val="0"/>
      <w:ind w:firstLine="720"/>
    </w:pPr>
    <w:rPr>
      <w:rFonts w:ascii="Arial" w:hAnsi="Arial"/>
    </w:rPr>
  </w:style>
  <w:style w:type="paragraph" w:customStyle="1" w:styleId="ConsCell">
    <w:name w:val="ConsCell"/>
    <w:rsid w:val="00D42A5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PlusCell">
    <w:name w:val="ConsPlusCell"/>
    <w:rsid w:val="003B51C6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">
    <w:name w:val="page number"/>
    <w:basedOn w:val="a0"/>
    <w:rsid w:val="00F92A92"/>
  </w:style>
  <w:style w:type="table" w:styleId="af0">
    <w:name w:val="Table Grid"/>
    <w:basedOn w:val="a1"/>
    <w:rsid w:val="00EF41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uiPriority w:val="99"/>
    <w:unhideWhenUsed/>
    <w:rsid w:val="00AB6398"/>
    <w:rPr>
      <w:color w:val="0563C1"/>
      <w:u w:val="single"/>
    </w:rPr>
  </w:style>
  <w:style w:type="character" w:styleId="af2">
    <w:name w:val="FollowedHyperlink"/>
    <w:uiPriority w:val="99"/>
    <w:unhideWhenUsed/>
    <w:rsid w:val="00AB6398"/>
    <w:rPr>
      <w:color w:val="954F72"/>
      <w:u w:val="single"/>
    </w:rPr>
  </w:style>
  <w:style w:type="character" w:customStyle="1" w:styleId="a4">
    <w:name w:val="Верхний колонтитул Знак"/>
    <w:basedOn w:val="a0"/>
    <w:link w:val="a3"/>
    <w:uiPriority w:val="99"/>
    <w:rsid w:val="00554DB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8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&#1056;&#1072;&#1089;&#1087;&#1086;&#1088;&#1103;&#1078;&#1077;&#1085;&#1080;&#1103;\&#1063;&#1077;&#1088;&#1085;&#1086;&#1074;&#1080;&#1082;&#1080;\&#1043;&#1083;&#1072;&#1074;&#1085;&#1099;&#1081;%20&#1096;&#1072;&#1073;&#1083;&#1086;&#108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Главный шаблон</Template>
  <TotalTime>12</TotalTime>
  <Pages>34</Pages>
  <Words>7091</Words>
  <Characters>40425</Characters>
  <Application>Microsoft Office Word</Application>
  <DocSecurity>0</DocSecurity>
  <Lines>336</Lines>
  <Paragraphs>94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 единовременном</vt:lpstr>
      <vt:lpstr>О единовременном</vt:lpstr>
    </vt:vector>
  </TitlesOfParts>
  <Company/>
  <LinksUpToDate>false</LinksUpToDate>
  <CharactersWithSpaces>47422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единовременном</dc:title>
  <dc:subject/>
  <dc:creator>karimova</dc:creator>
  <cp:keywords/>
  <dc:description/>
  <cp:lastModifiedBy>Сергей Медведев</cp:lastModifiedBy>
  <cp:revision>9</cp:revision>
  <cp:lastPrinted>2021-10-08T10:24:00Z</cp:lastPrinted>
  <dcterms:created xsi:type="dcterms:W3CDTF">2020-11-03T04:34:00Z</dcterms:created>
  <dcterms:modified xsi:type="dcterms:W3CDTF">2021-10-08T10:24:00Z</dcterms:modified>
</cp:coreProperties>
</file>